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5A82" w14:textId="77777777" w:rsidR="00B72DD0" w:rsidRDefault="00B72DD0" w:rsidP="00B72DD0">
      <w:pPr>
        <w:jc w:val="center"/>
        <w:rPr>
          <w:rFonts w:ascii="Arial" w:hAnsi="Arial" w:cs="Arial"/>
          <w:b/>
          <w:sz w:val="72"/>
          <w:szCs w:val="72"/>
          <w:u w:val="single"/>
        </w:rPr>
      </w:pPr>
    </w:p>
    <w:p w14:paraId="01A7F8AF" w14:textId="77777777" w:rsidR="00B72DD0" w:rsidRDefault="00B72DD0" w:rsidP="00B72DD0">
      <w:pPr>
        <w:jc w:val="center"/>
        <w:rPr>
          <w:rFonts w:ascii="Arial" w:hAnsi="Arial" w:cs="Arial"/>
          <w:b/>
          <w:sz w:val="72"/>
          <w:szCs w:val="72"/>
          <w:u w:val="single"/>
        </w:rPr>
      </w:pPr>
    </w:p>
    <w:p w14:paraId="23FC01AE" w14:textId="77777777" w:rsidR="00B72DD0" w:rsidRDefault="00B72DD0" w:rsidP="00B72DD0">
      <w:pPr>
        <w:jc w:val="center"/>
        <w:rPr>
          <w:rFonts w:ascii="Arial" w:hAnsi="Arial" w:cs="Arial"/>
          <w:b/>
          <w:sz w:val="72"/>
          <w:szCs w:val="72"/>
          <w:u w:val="single"/>
        </w:rPr>
      </w:pPr>
    </w:p>
    <w:p w14:paraId="15D93B38" w14:textId="77777777" w:rsidR="00B72DD0" w:rsidRPr="00934842" w:rsidRDefault="00B72DD0" w:rsidP="00B72DD0">
      <w:pPr>
        <w:jc w:val="center"/>
        <w:rPr>
          <w:rFonts w:ascii="Arial" w:hAnsi="Arial" w:cs="Arial"/>
          <w:b/>
          <w:sz w:val="72"/>
          <w:szCs w:val="72"/>
          <w:u w:val="single"/>
        </w:rPr>
      </w:pPr>
      <w:r w:rsidRPr="00934842">
        <w:rPr>
          <w:rFonts w:ascii="Arial" w:hAnsi="Arial" w:cs="Arial"/>
          <w:b/>
          <w:sz w:val="72"/>
          <w:szCs w:val="72"/>
          <w:u w:val="single"/>
        </w:rPr>
        <w:t xml:space="preserve">Wandsworth </w:t>
      </w:r>
      <w:r w:rsidR="00392EDC">
        <w:rPr>
          <w:rFonts w:ascii="Arial" w:hAnsi="Arial" w:cs="Arial"/>
          <w:b/>
          <w:sz w:val="72"/>
          <w:szCs w:val="72"/>
          <w:u w:val="single"/>
        </w:rPr>
        <w:t xml:space="preserve">Borough </w:t>
      </w:r>
      <w:r w:rsidRPr="00934842">
        <w:rPr>
          <w:rFonts w:ascii="Arial" w:hAnsi="Arial" w:cs="Arial"/>
          <w:b/>
          <w:sz w:val="72"/>
          <w:szCs w:val="72"/>
          <w:u w:val="single"/>
        </w:rPr>
        <w:t>Council</w:t>
      </w:r>
    </w:p>
    <w:p w14:paraId="49C18B81" w14:textId="77777777" w:rsidR="00B72DD0" w:rsidRPr="00934842" w:rsidRDefault="00B72DD0" w:rsidP="00B72DD0">
      <w:pPr>
        <w:jc w:val="center"/>
        <w:rPr>
          <w:rFonts w:ascii="Arial" w:hAnsi="Arial" w:cs="Arial"/>
          <w:b/>
          <w:sz w:val="72"/>
          <w:szCs w:val="72"/>
          <w:u w:val="single"/>
        </w:rPr>
      </w:pPr>
    </w:p>
    <w:p w14:paraId="21119FE1" w14:textId="77777777" w:rsidR="00B72DD0" w:rsidRPr="00934842" w:rsidRDefault="00B72DD0" w:rsidP="00B72DD0">
      <w:pPr>
        <w:jc w:val="center"/>
        <w:rPr>
          <w:rFonts w:ascii="Arial" w:hAnsi="Arial" w:cs="Arial"/>
          <w:b/>
          <w:sz w:val="72"/>
          <w:szCs w:val="72"/>
          <w:u w:val="single"/>
        </w:rPr>
      </w:pPr>
      <w:r w:rsidRPr="00934842">
        <w:rPr>
          <w:rFonts w:ascii="Arial" w:hAnsi="Arial" w:cs="Arial"/>
          <w:b/>
          <w:sz w:val="72"/>
          <w:szCs w:val="72"/>
          <w:u w:val="single"/>
        </w:rPr>
        <w:t>Tenancy and Rent Strategy</w:t>
      </w:r>
    </w:p>
    <w:p w14:paraId="3C2F4BF6" w14:textId="77777777" w:rsidR="00B72DD0" w:rsidRPr="00934842" w:rsidRDefault="00B72DD0" w:rsidP="00B72DD0">
      <w:pPr>
        <w:jc w:val="center"/>
        <w:rPr>
          <w:rFonts w:ascii="Arial" w:hAnsi="Arial" w:cs="Arial"/>
          <w:b/>
          <w:sz w:val="72"/>
          <w:szCs w:val="72"/>
          <w:u w:val="single"/>
        </w:rPr>
      </w:pPr>
    </w:p>
    <w:p w14:paraId="7D81F24E" w14:textId="77777777" w:rsidR="00B72DD0" w:rsidRDefault="00B72DD0" w:rsidP="00B72DD0">
      <w:pPr>
        <w:jc w:val="center"/>
        <w:rPr>
          <w:rFonts w:ascii="Arial" w:hAnsi="Arial" w:cs="Arial"/>
          <w:b/>
          <w:sz w:val="40"/>
          <w:szCs w:val="40"/>
        </w:rPr>
      </w:pPr>
      <w:r w:rsidRPr="00934842">
        <w:rPr>
          <w:rFonts w:ascii="Arial" w:hAnsi="Arial" w:cs="Arial"/>
          <w:b/>
          <w:sz w:val="40"/>
          <w:szCs w:val="40"/>
        </w:rPr>
        <w:t xml:space="preserve">(Published </w:t>
      </w:r>
      <w:r w:rsidR="008B6B5C">
        <w:rPr>
          <w:rFonts w:ascii="Arial" w:hAnsi="Arial" w:cs="Arial"/>
          <w:b/>
          <w:sz w:val="40"/>
          <w:szCs w:val="40"/>
        </w:rPr>
        <w:t>xxxxx</w:t>
      </w:r>
      <w:r w:rsidRPr="00934842">
        <w:rPr>
          <w:rFonts w:ascii="Arial" w:hAnsi="Arial" w:cs="Arial"/>
          <w:b/>
          <w:sz w:val="40"/>
          <w:szCs w:val="40"/>
        </w:rPr>
        <w:t xml:space="preserve"> 20</w:t>
      </w:r>
      <w:r w:rsidR="005A1690">
        <w:rPr>
          <w:rFonts w:ascii="Arial" w:hAnsi="Arial" w:cs="Arial"/>
          <w:b/>
          <w:sz w:val="40"/>
          <w:szCs w:val="40"/>
        </w:rPr>
        <w:t>22</w:t>
      </w:r>
      <w:r w:rsidRPr="00934842">
        <w:rPr>
          <w:rFonts w:ascii="Arial" w:hAnsi="Arial" w:cs="Arial"/>
          <w:b/>
          <w:sz w:val="40"/>
          <w:szCs w:val="40"/>
        </w:rPr>
        <w:t>)</w:t>
      </w:r>
    </w:p>
    <w:p w14:paraId="7D39A7A6" w14:textId="77777777" w:rsidR="00A6595C" w:rsidRPr="00934842" w:rsidRDefault="00A6595C" w:rsidP="00B72DD0">
      <w:pPr>
        <w:jc w:val="center"/>
        <w:rPr>
          <w:rFonts w:ascii="Arial" w:hAnsi="Arial" w:cs="Arial"/>
          <w:b/>
          <w:sz w:val="72"/>
          <w:szCs w:val="72"/>
        </w:rPr>
      </w:pPr>
    </w:p>
    <w:p w14:paraId="27E17B53" w14:textId="77777777" w:rsidR="00B72DD0" w:rsidRPr="00934842" w:rsidRDefault="00B72DD0" w:rsidP="00B72DD0">
      <w:pPr>
        <w:jc w:val="center"/>
        <w:rPr>
          <w:rFonts w:ascii="Arial" w:hAnsi="Arial" w:cs="Arial"/>
          <w:b/>
          <w:u w:val="single"/>
        </w:rPr>
      </w:pPr>
    </w:p>
    <w:p w14:paraId="1044E7E9" w14:textId="77777777" w:rsidR="00B72DD0" w:rsidRPr="00934842" w:rsidRDefault="00B72DD0" w:rsidP="00B72DD0">
      <w:pPr>
        <w:jc w:val="center"/>
        <w:rPr>
          <w:rFonts w:ascii="Arial" w:hAnsi="Arial" w:cs="Arial"/>
          <w:b/>
          <w:sz w:val="40"/>
          <w:szCs w:val="40"/>
          <w:u w:val="single"/>
        </w:rPr>
      </w:pPr>
      <w:r w:rsidRPr="00934842">
        <w:rPr>
          <w:rFonts w:ascii="Arial" w:hAnsi="Arial" w:cs="Arial"/>
          <w:b/>
          <w:sz w:val="40"/>
          <w:szCs w:val="40"/>
          <w:u w:val="single"/>
        </w:rPr>
        <w:br w:type="page"/>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0"/>
        <w:gridCol w:w="790"/>
      </w:tblGrid>
      <w:tr w:rsidR="00B72DD0" w:rsidRPr="00934842" w14:paraId="3051F7EF" w14:textId="77777777" w:rsidTr="00A16BD0">
        <w:tc>
          <w:tcPr>
            <w:tcW w:w="9470" w:type="dxa"/>
          </w:tcPr>
          <w:p w14:paraId="3E81976F" w14:textId="77777777" w:rsidR="00B72DD0" w:rsidRPr="00934842" w:rsidRDefault="00B72DD0" w:rsidP="00392EDC">
            <w:pPr>
              <w:ind w:right="-874"/>
              <w:rPr>
                <w:rFonts w:ascii="Arial" w:hAnsi="Arial" w:cs="Arial"/>
                <w:b/>
                <w:u w:val="single"/>
              </w:rPr>
            </w:pPr>
            <w:r w:rsidRPr="00934842">
              <w:rPr>
                <w:rFonts w:ascii="Arial" w:hAnsi="Arial" w:cs="Arial"/>
                <w:b/>
                <w:u w:val="single"/>
              </w:rPr>
              <w:lastRenderedPageBreak/>
              <w:br w:type="page"/>
              <w:t>CONTENTS</w:t>
            </w:r>
          </w:p>
          <w:p w14:paraId="0C9B433C" w14:textId="77777777" w:rsidR="00B72DD0" w:rsidRPr="00934842" w:rsidRDefault="00B72DD0" w:rsidP="00392EDC">
            <w:pPr>
              <w:ind w:right="-874"/>
              <w:rPr>
                <w:rFonts w:ascii="Arial" w:hAnsi="Arial" w:cs="Arial"/>
                <w:b/>
                <w:u w:val="single"/>
              </w:rPr>
            </w:pPr>
          </w:p>
        </w:tc>
        <w:tc>
          <w:tcPr>
            <w:tcW w:w="790" w:type="dxa"/>
          </w:tcPr>
          <w:p w14:paraId="3B6F1A55" w14:textId="77777777" w:rsidR="00B72DD0" w:rsidRPr="00934842" w:rsidRDefault="00B72DD0" w:rsidP="00392EDC">
            <w:pPr>
              <w:ind w:right="-874"/>
              <w:rPr>
                <w:rFonts w:ascii="Arial" w:hAnsi="Arial" w:cs="Arial"/>
                <w:b/>
              </w:rPr>
            </w:pPr>
            <w:r w:rsidRPr="00934842">
              <w:rPr>
                <w:rFonts w:ascii="Arial" w:hAnsi="Arial" w:cs="Arial"/>
                <w:b/>
              </w:rPr>
              <w:t>Page</w:t>
            </w:r>
          </w:p>
        </w:tc>
      </w:tr>
      <w:tr w:rsidR="00B72DD0" w:rsidRPr="00934842" w14:paraId="7B130242" w14:textId="77777777" w:rsidTr="00A16BD0">
        <w:tc>
          <w:tcPr>
            <w:tcW w:w="9470" w:type="dxa"/>
          </w:tcPr>
          <w:p w14:paraId="53A1697C" w14:textId="77777777" w:rsidR="00B72DD0" w:rsidRPr="00934842" w:rsidRDefault="00B72DD0" w:rsidP="00392EDC">
            <w:pPr>
              <w:ind w:right="-874"/>
              <w:rPr>
                <w:rFonts w:ascii="Arial" w:hAnsi="Arial" w:cs="Arial"/>
                <w:b/>
                <w:color w:val="000000"/>
              </w:rPr>
            </w:pPr>
            <w:r w:rsidRPr="00934842">
              <w:rPr>
                <w:rFonts w:ascii="Arial" w:hAnsi="Arial" w:cs="Arial"/>
                <w:b/>
                <w:color w:val="000000"/>
              </w:rPr>
              <w:t>Introduction</w:t>
            </w:r>
          </w:p>
          <w:p w14:paraId="725895D5" w14:textId="77777777" w:rsidR="00B72DD0" w:rsidRPr="00934842" w:rsidRDefault="00B72DD0" w:rsidP="00392EDC">
            <w:pPr>
              <w:ind w:right="-874"/>
              <w:rPr>
                <w:rFonts w:ascii="Arial" w:hAnsi="Arial" w:cs="Arial"/>
                <w:b/>
                <w:color w:val="000000"/>
              </w:rPr>
            </w:pPr>
          </w:p>
        </w:tc>
        <w:tc>
          <w:tcPr>
            <w:tcW w:w="790" w:type="dxa"/>
          </w:tcPr>
          <w:p w14:paraId="4B78F9C6" w14:textId="77777777" w:rsidR="00B72DD0" w:rsidRPr="00934842" w:rsidRDefault="00B72DD0" w:rsidP="00392EDC">
            <w:pPr>
              <w:ind w:right="-874"/>
              <w:rPr>
                <w:rFonts w:ascii="Arial" w:hAnsi="Arial" w:cs="Arial"/>
                <w:b/>
                <w:color w:val="000000"/>
              </w:rPr>
            </w:pPr>
            <w:r w:rsidRPr="00934842">
              <w:rPr>
                <w:rFonts w:ascii="Arial" w:hAnsi="Arial" w:cs="Arial"/>
                <w:b/>
                <w:color w:val="000000"/>
              </w:rPr>
              <w:t>2</w:t>
            </w:r>
          </w:p>
        </w:tc>
      </w:tr>
      <w:tr w:rsidR="00A84CDF" w:rsidRPr="00934842" w14:paraId="60E7E2E2" w14:textId="77777777" w:rsidTr="00A16BD0">
        <w:tc>
          <w:tcPr>
            <w:tcW w:w="9470" w:type="dxa"/>
          </w:tcPr>
          <w:p w14:paraId="234A9C4F" w14:textId="77777777" w:rsidR="00A84CDF" w:rsidRDefault="0092032B" w:rsidP="00392EDC">
            <w:pPr>
              <w:ind w:right="-874"/>
              <w:rPr>
                <w:rFonts w:ascii="Arial" w:hAnsi="Arial" w:cs="Arial"/>
                <w:b/>
                <w:color w:val="000000"/>
              </w:rPr>
            </w:pPr>
            <w:r>
              <w:rPr>
                <w:rFonts w:ascii="Arial" w:hAnsi="Arial" w:cs="Arial"/>
                <w:b/>
                <w:color w:val="000000"/>
              </w:rPr>
              <w:t>Type of tenancies</w:t>
            </w:r>
          </w:p>
          <w:p w14:paraId="005B3FC5" w14:textId="77777777" w:rsidR="000A1743" w:rsidRPr="001B3B1B" w:rsidRDefault="000A1743" w:rsidP="000A1743">
            <w:pPr>
              <w:numPr>
                <w:ilvl w:val="0"/>
                <w:numId w:val="23"/>
              </w:numPr>
              <w:ind w:right="-874"/>
              <w:rPr>
                <w:rFonts w:ascii="Arial" w:hAnsi="Arial" w:cs="Arial"/>
              </w:rPr>
            </w:pPr>
            <w:r>
              <w:rPr>
                <w:rFonts w:ascii="Arial" w:hAnsi="Arial" w:cs="Arial"/>
              </w:rPr>
              <w:t>Secure periodic tenancies</w:t>
            </w:r>
          </w:p>
          <w:p w14:paraId="47AA1D77" w14:textId="77777777" w:rsidR="000A1743" w:rsidRPr="001B3B1B" w:rsidRDefault="000A1743" w:rsidP="000A1743">
            <w:pPr>
              <w:numPr>
                <w:ilvl w:val="0"/>
                <w:numId w:val="23"/>
              </w:numPr>
              <w:ind w:right="-874"/>
              <w:rPr>
                <w:rFonts w:ascii="Arial" w:hAnsi="Arial" w:cs="Arial"/>
              </w:rPr>
            </w:pPr>
            <w:r>
              <w:rPr>
                <w:rFonts w:ascii="Arial" w:hAnsi="Arial" w:cs="Arial"/>
              </w:rPr>
              <w:t>Flexible fixed term tenancies</w:t>
            </w:r>
          </w:p>
          <w:p w14:paraId="64394136" w14:textId="77777777" w:rsidR="000A1743" w:rsidRDefault="000A1743" w:rsidP="000A1743">
            <w:pPr>
              <w:numPr>
                <w:ilvl w:val="0"/>
                <w:numId w:val="23"/>
              </w:numPr>
              <w:ind w:right="-874"/>
              <w:rPr>
                <w:rFonts w:ascii="Arial" w:hAnsi="Arial" w:cs="Arial"/>
              </w:rPr>
            </w:pPr>
            <w:r>
              <w:rPr>
                <w:rFonts w:ascii="Arial" w:hAnsi="Arial" w:cs="Arial"/>
              </w:rPr>
              <w:t>Introductory tenancies</w:t>
            </w:r>
          </w:p>
          <w:p w14:paraId="03879AD3" w14:textId="77777777" w:rsidR="00B639A2" w:rsidRPr="000A1743" w:rsidRDefault="00B639A2" w:rsidP="000A1743">
            <w:pPr>
              <w:ind w:left="360" w:right="-874"/>
              <w:rPr>
                <w:rFonts w:ascii="Arial" w:hAnsi="Arial" w:cs="Arial"/>
                <w:b/>
                <w:color w:val="000000"/>
              </w:rPr>
            </w:pPr>
          </w:p>
        </w:tc>
        <w:tc>
          <w:tcPr>
            <w:tcW w:w="790" w:type="dxa"/>
          </w:tcPr>
          <w:p w14:paraId="044B3AD7" w14:textId="77777777" w:rsidR="00A84CDF" w:rsidRDefault="00620647" w:rsidP="00392EDC">
            <w:pPr>
              <w:ind w:right="-874"/>
              <w:rPr>
                <w:rFonts w:ascii="Arial" w:hAnsi="Arial" w:cs="Arial"/>
                <w:b/>
                <w:color w:val="000000"/>
              </w:rPr>
            </w:pPr>
            <w:r>
              <w:rPr>
                <w:rFonts w:ascii="Arial" w:hAnsi="Arial" w:cs="Arial"/>
                <w:b/>
                <w:color w:val="000000"/>
              </w:rPr>
              <w:t>3</w:t>
            </w:r>
          </w:p>
          <w:p w14:paraId="551D07B2" w14:textId="77777777" w:rsidR="00620647" w:rsidRDefault="00620647" w:rsidP="00392EDC">
            <w:pPr>
              <w:ind w:right="-874"/>
              <w:rPr>
                <w:rFonts w:ascii="Arial" w:hAnsi="Arial" w:cs="Arial"/>
                <w:bCs/>
                <w:color w:val="000000"/>
              </w:rPr>
            </w:pPr>
            <w:r>
              <w:rPr>
                <w:rFonts w:ascii="Arial" w:hAnsi="Arial" w:cs="Arial"/>
                <w:bCs/>
                <w:color w:val="000000"/>
              </w:rPr>
              <w:t>3</w:t>
            </w:r>
          </w:p>
          <w:p w14:paraId="55BD1D57" w14:textId="77777777" w:rsidR="00620647" w:rsidRDefault="00D9163D" w:rsidP="00392EDC">
            <w:pPr>
              <w:ind w:right="-874"/>
              <w:rPr>
                <w:rFonts w:ascii="Arial" w:hAnsi="Arial" w:cs="Arial"/>
                <w:bCs/>
                <w:color w:val="000000"/>
              </w:rPr>
            </w:pPr>
            <w:r>
              <w:rPr>
                <w:rFonts w:ascii="Arial" w:hAnsi="Arial" w:cs="Arial"/>
                <w:bCs/>
                <w:color w:val="000000"/>
              </w:rPr>
              <w:t>4</w:t>
            </w:r>
          </w:p>
          <w:p w14:paraId="531B7F1A" w14:textId="77777777" w:rsidR="00D9163D" w:rsidRPr="00620647" w:rsidRDefault="00D9163D" w:rsidP="00392EDC">
            <w:pPr>
              <w:ind w:right="-874"/>
              <w:rPr>
                <w:rFonts w:ascii="Arial" w:hAnsi="Arial" w:cs="Arial"/>
                <w:bCs/>
                <w:color w:val="000000"/>
              </w:rPr>
            </w:pPr>
            <w:r>
              <w:rPr>
                <w:rFonts w:ascii="Arial" w:hAnsi="Arial" w:cs="Arial"/>
                <w:bCs/>
                <w:color w:val="000000"/>
              </w:rPr>
              <w:t>5</w:t>
            </w:r>
          </w:p>
        </w:tc>
      </w:tr>
      <w:tr w:rsidR="00DF2DEF" w:rsidRPr="00934842" w14:paraId="1EE9527C" w14:textId="77777777" w:rsidTr="00A16BD0">
        <w:tc>
          <w:tcPr>
            <w:tcW w:w="9470" w:type="dxa"/>
          </w:tcPr>
          <w:p w14:paraId="3AF7DB28" w14:textId="77777777" w:rsidR="00DF2DEF" w:rsidRDefault="00767343" w:rsidP="00392EDC">
            <w:pPr>
              <w:ind w:right="-874"/>
              <w:rPr>
                <w:rFonts w:ascii="Arial" w:hAnsi="Arial" w:cs="Arial"/>
                <w:b/>
                <w:color w:val="000000"/>
              </w:rPr>
            </w:pPr>
            <w:r>
              <w:rPr>
                <w:rFonts w:ascii="Arial" w:hAnsi="Arial" w:cs="Arial"/>
                <w:b/>
                <w:color w:val="000000"/>
              </w:rPr>
              <w:t>Existing tenants on flexible fixed term tenancies</w:t>
            </w:r>
          </w:p>
          <w:p w14:paraId="602B3808" w14:textId="77777777" w:rsidR="00C91F9B" w:rsidRDefault="00A021BB" w:rsidP="00C91F9B">
            <w:pPr>
              <w:pStyle w:val="ListParagraph"/>
              <w:numPr>
                <w:ilvl w:val="0"/>
                <w:numId w:val="25"/>
              </w:numPr>
              <w:ind w:right="-874"/>
              <w:rPr>
                <w:rFonts w:ascii="Arial" w:hAnsi="Arial" w:cs="Arial"/>
                <w:bCs/>
              </w:rPr>
            </w:pPr>
            <w:r w:rsidRPr="00C91F9B">
              <w:rPr>
                <w:rFonts w:ascii="Arial" w:hAnsi="Arial" w:cs="Arial"/>
              </w:rPr>
              <w:t xml:space="preserve">Surrendering </w:t>
            </w:r>
            <w:r w:rsidR="00C91F9B" w:rsidRPr="00C91F9B">
              <w:rPr>
                <w:rFonts w:ascii="Arial" w:hAnsi="Arial" w:cs="Arial"/>
                <w:bCs/>
              </w:rPr>
              <w:t xml:space="preserve">a flexible fixed term tenancy and re-grant of a secure periodic </w:t>
            </w:r>
          </w:p>
          <w:p w14:paraId="6A520E75" w14:textId="21088D8E" w:rsidR="00C91F9B" w:rsidRPr="00C91F9B" w:rsidRDefault="00C91F9B" w:rsidP="00C91F9B">
            <w:pPr>
              <w:pStyle w:val="ListParagraph"/>
              <w:ind w:right="-874"/>
              <w:rPr>
                <w:rFonts w:ascii="Arial" w:hAnsi="Arial" w:cs="Arial"/>
                <w:bCs/>
              </w:rPr>
            </w:pPr>
            <w:r w:rsidRPr="00C91F9B">
              <w:rPr>
                <w:rFonts w:ascii="Arial" w:hAnsi="Arial" w:cs="Arial"/>
                <w:bCs/>
              </w:rPr>
              <w:t>tenancy</w:t>
            </w:r>
          </w:p>
          <w:p w14:paraId="6C0B30A5" w14:textId="77777777" w:rsidR="00767343" w:rsidRDefault="00767343" w:rsidP="00392EDC">
            <w:pPr>
              <w:ind w:right="-874"/>
              <w:rPr>
                <w:rFonts w:ascii="Arial" w:hAnsi="Arial" w:cs="Arial"/>
                <w:b/>
                <w:color w:val="000000"/>
              </w:rPr>
            </w:pPr>
          </w:p>
        </w:tc>
        <w:tc>
          <w:tcPr>
            <w:tcW w:w="790" w:type="dxa"/>
          </w:tcPr>
          <w:p w14:paraId="04562640" w14:textId="77777777" w:rsidR="00DF2DEF" w:rsidRDefault="00A021BB" w:rsidP="00392EDC">
            <w:pPr>
              <w:ind w:right="-874"/>
              <w:rPr>
                <w:rFonts w:ascii="Arial" w:hAnsi="Arial" w:cs="Arial"/>
                <w:b/>
                <w:color w:val="000000"/>
              </w:rPr>
            </w:pPr>
            <w:r>
              <w:rPr>
                <w:rFonts w:ascii="Arial" w:hAnsi="Arial" w:cs="Arial"/>
                <w:b/>
                <w:color w:val="000000"/>
              </w:rPr>
              <w:t>5</w:t>
            </w:r>
          </w:p>
          <w:p w14:paraId="780625E9" w14:textId="77777777" w:rsidR="00A021BB" w:rsidRPr="00A021BB" w:rsidRDefault="00A021BB" w:rsidP="00392EDC">
            <w:pPr>
              <w:ind w:right="-874"/>
              <w:rPr>
                <w:rFonts w:ascii="Arial" w:hAnsi="Arial" w:cs="Arial"/>
                <w:bCs/>
                <w:color w:val="000000"/>
              </w:rPr>
            </w:pPr>
            <w:r>
              <w:rPr>
                <w:rFonts w:ascii="Arial" w:hAnsi="Arial" w:cs="Arial"/>
                <w:bCs/>
                <w:color w:val="000000"/>
              </w:rPr>
              <w:t>5</w:t>
            </w:r>
          </w:p>
        </w:tc>
      </w:tr>
      <w:tr w:rsidR="00B72DD0" w:rsidRPr="00934842" w14:paraId="7137301C" w14:textId="77777777" w:rsidTr="00A16BD0">
        <w:tc>
          <w:tcPr>
            <w:tcW w:w="9470" w:type="dxa"/>
          </w:tcPr>
          <w:p w14:paraId="780E15D1" w14:textId="77777777" w:rsidR="00B72DD0" w:rsidRPr="00934842" w:rsidRDefault="00A6595C" w:rsidP="00A6595C">
            <w:pPr>
              <w:ind w:right="-874"/>
              <w:rPr>
                <w:rFonts w:ascii="Arial" w:hAnsi="Arial" w:cs="Arial"/>
                <w:color w:val="000000"/>
              </w:rPr>
            </w:pPr>
            <w:r>
              <w:rPr>
                <w:rFonts w:ascii="Arial" w:hAnsi="Arial" w:cs="Arial"/>
                <w:b/>
                <w:color w:val="000000"/>
              </w:rPr>
              <w:t>General needs and sheltered housing</w:t>
            </w:r>
          </w:p>
          <w:p w14:paraId="4F67EAA9" w14:textId="77777777" w:rsidR="00B72DD0" w:rsidRPr="00934842" w:rsidRDefault="00B72DD0" w:rsidP="00392EDC">
            <w:pPr>
              <w:ind w:left="360" w:right="-874"/>
              <w:rPr>
                <w:rFonts w:ascii="Arial" w:hAnsi="Arial" w:cs="Arial"/>
                <w:color w:val="000000"/>
              </w:rPr>
            </w:pPr>
          </w:p>
        </w:tc>
        <w:tc>
          <w:tcPr>
            <w:tcW w:w="790" w:type="dxa"/>
          </w:tcPr>
          <w:p w14:paraId="60A2396C" w14:textId="77777777" w:rsidR="00A6595C" w:rsidRPr="00A6595C" w:rsidRDefault="00A021BB" w:rsidP="00A6595C">
            <w:pPr>
              <w:ind w:right="-874"/>
              <w:rPr>
                <w:rFonts w:ascii="Arial" w:hAnsi="Arial" w:cs="Arial"/>
                <w:b/>
                <w:bCs/>
                <w:color w:val="000000"/>
              </w:rPr>
            </w:pPr>
            <w:r>
              <w:rPr>
                <w:rFonts w:ascii="Arial" w:hAnsi="Arial" w:cs="Arial"/>
                <w:b/>
                <w:bCs/>
                <w:color w:val="000000"/>
              </w:rPr>
              <w:t>6</w:t>
            </w:r>
          </w:p>
          <w:p w14:paraId="4A81D0E1" w14:textId="77777777" w:rsidR="00B72DD0" w:rsidRPr="00934842" w:rsidRDefault="00B72DD0" w:rsidP="00392EDC">
            <w:pPr>
              <w:ind w:right="-874"/>
              <w:rPr>
                <w:rFonts w:ascii="Arial" w:hAnsi="Arial" w:cs="Arial"/>
                <w:color w:val="000000"/>
              </w:rPr>
            </w:pPr>
          </w:p>
        </w:tc>
      </w:tr>
      <w:tr w:rsidR="00B72DD0" w:rsidRPr="00934842" w14:paraId="16141C04" w14:textId="77777777" w:rsidTr="00A16BD0">
        <w:tc>
          <w:tcPr>
            <w:tcW w:w="9470" w:type="dxa"/>
          </w:tcPr>
          <w:p w14:paraId="6D3DA359" w14:textId="77777777" w:rsidR="00B72DD0" w:rsidRPr="00934842" w:rsidRDefault="00A6595C" w:rsidP="00A6595C">
            <w:pPr>
              <w:ind w:right="-874"/>
              <w:rPr>
                <w:rFonts w:ascii="Arial" w:hAnsi="Arial" w:cs="Arial"/>
                <w:b/>
                <w:color w:val="000000"/>
              </w:rPr>
            </w:pPr>
            <w:r>
              <w:rPr>
                <w:rFonts w:ascii="Arial" w:hAnsi="Arial" w:cs="Arial"/>
                <w:b/>
                <w:color w:val="000000"/>
              </w:rPr>
              <w:t>Social Rent and Affordable Rent terms</w:t>
            </w:r>
          </w:p>
          <w:p w14:paraId="70B06CDD" w14:textId="77777777" w:rsidR="00B72DD0" w:rsidRPr="00A6595C" w:rsidRDefault="00A6595C" w:rsidP="00A6595C">
            <w:pPr>
              <w:pStyle w:val="ListParagraph"/>
              <w:numPr>
                <w:ilvl w:val="0"/>
                <w:numId w:val="19"/>
              </w:numPr>
              <w:ind w:right="-874"/>
              <w:rPr>
                <w:rFonts w:ascii="Arial" w:hAnsi="Arial" w:cs="Arial"/>
                <w:bCs/>
                <w:color w:val="000000"/>
              </w:rPr>
            </w:pPr>
            <w:r w:rsidRPr="00A6595C">
              <w:rPr>
                <w:rFonts w:ascii="Arial" w:hAnsi="Arial" w:cs="Arial"/>
                <w:bCs/>
                <w:color w:val="000000"/>
              </w:rPr>
              <w:t>Social Rent terms</w:t>
            </w:r>
          </w:p>
          <w:p w14:paraId="3B4D4AE7" w14:textId="77777777" w:rsidR="00E51D03" w:rsidRDefault="00A6595C" w:rsidP="00E51D03">
            <w:pPr>
              <w:pStyle w:val="ListParagraph"/>
              <w:numPr>
                <w:ilvl w:val="0"/>
                <w:numId w:val="19"/>
              </w:numPr>
              <w:ind w:right="-874"/>
              <w:rPr>
                <w:rFonts w:ascii="Arial" w:hAnsi="Arial" w:cs="Arial"/>
                <w:bCs/>
                <w:color w:val="000000"/>
              </w:rPr>
            </w:pPr>
            <w:r w:rsidRPr="00A6595C">
              <w:rPr>
                <w:rFonts w:ascii="Arial" w:hAnsi="Arial" w:cs="Arial"/>
                <w:bCs/>
                <w:color w:val="000000"/>
              </w:rPr>
              <w:t>Affordable Rent terms</w:t>
            </w:r>
          </w:p>
          <w:p w14:paraId="1F3F5A0F" w14:textId="77777777" w:rsidR="00E51D03" w:rsidRDefault="00E51D03" w:rsidP="00E51D03">
            <w:pPr>
              <w:pStyle w:val="ListParagraph"/>
              <w:numPr>
                <w:ilvl w:val="0"/>
                <w:numId w:val="19"/>
              </w:numPr>
              <w:ind w:right="-874"/>
              <w:rPr>
                <w:rFonts w:ascii="Arial" w:hAnsi="Arial" w:cs="Arial"/>
                <w:bCs/>
                <w:color w:val="000000"/>
              </w:rPr>
            </w:pPr>
            <w:r w:rsidRPr="00E51D03">
              <w:rPr>
                <w:rFonts w:ascii="Arial" w:hAnsi="Arial" w:cs="Arial"/>
                <w:bCs/>
                <w:color w:val="000000"/>
              </w:rPr>
              <w:t xml:space="preserve">Tenancies for applicants who were already social housing tenants as at 1st April </w:t>
            </w:r>
          </w:p>
          <w:p w14:paraId="5C6EB8A1" w14:textId="77777777" w:rsidR="00E51D03" w:rsidRPr="00286113" w:rsidRDefault="00E51D03" w:rsidP="00286113">
            <w:pPr>
              <w:pStyle w:val="ListParagraph"/>
              <w:ind w:right="-874"/>
              <w:rPr>
                <w:rFonts w:ascii="Arial" w:hAnsi="Arial" w:cs="Arial"/>
                <w:bCs/>
                <w:color w:val="000000"/>
              </w:rPr>
            </w:pPr>
            <w:r w:rsidRPr="00E51D03">
              <w:rPr>
                <w:rFonts w:ascii="Arial" w:hAnsi="Arial" w:cs="Arial"/>
                <w:bCs/>
                <w:color w:val="000000"/>
              </w:rPr>
              <w:t>2012</w:t>
            </w:r>
          </w:p>
          <w:p w14:paraId="1EADE7C2" w14:textId="77777777" w:rsidR="00A6595C" w:rsidRPr="00934842" w:rsidRDefault="00A6595C" w:rsidP="00A6595C">
            <w:pPr>
              <w:ind w:right="-874"/>
              <w:rPr>
                <w:rFonts w:ascii="Arial" w:hAnsi="Arial" w:cs="Arial"/>
                <w:b/>
                <w:color w:val="000000"/>
              </w:rPr>
            </w:pPr>
          </w:p>
        </w:tc>
        <w:tc>
          <w:tcPr>
            <w:tcW w:w="790" w:type="dxa"/>
          </w:tcPr>
          <w:p w14:paraId="10A0CD34" w14:textId="77777777" w:rsidR="00B72DD0" w:rsidRPr="00934842" w:rsidRDefault="00A021BB" w:rsidP="00392EDC">
            <w:pPr>
              <w:ind w:right="-874"/>
              <w:rPr>
                <w:rFonts w:ascii="Arial" w:hAnsi="Arial" w:cs="Arial"/>
                <w:b/>
                <w:color w:val="000000"/>
              </w:rPr>
            </w:pPr>
            <w:r>
              <w:rPr>
                <w:rFonts w:ascii="Arial" w:hAnsi="Arial" w:cs="Arial"/>
                <w:b/>
                <w:color w:val="000000"/>
              </w:rPr>
              <w:t>7</w:t>
            </w:r>
          </w:p>
          <w:p w14:paraId="03ED0190" w14:textId="77777777" w:rsidR="00B72DD0" w:rsidRDefault="00A021BB" w:rsidP="00392EDC">
            <w:pPr>
              <w:ind w:right="-874"/>
              <w:rPr>
                <w:rFonts w:ascii="Arial" w:hAnsi="Arial" w:cs="Arial"/>
                <w:color w:val="000000"/>
              </w:rPr>
            </w:pPr>
            <w:r>
              <w:rPr>
                <w:rFonts w:ascii="Arial" w:hAnsi="Arial" w:cs="Arial"/>
                <w:color w:val="000000"/>
              </w:rPr>
              <w:t>7</w:t>
            </w:r>
          </w:p>
          <w:p w14:paraId="3661913C" w14:textId="77777777" w:rsidR="00A6595C" w:rsidRDefault="00A021BB" w:rsidP="00392EDC">
            <w:pPr>
              <w:ind w:right="-874"/>
              <w:rPr>
                <w:rFonts w:ascii="Arial" w:hAnsi="Arial" w:cs="Arial"/>
                <w:color w:val="000000"/>
              </w:rPr>
            </w:pPr>
            <w:r>
              <w:rPr>
                <w:rFonts w:ascii="Arial" w:hAnsi="Arial" w:cs="Arial"/>
                <w:color w:val="000000"/>
              </w:rPr>
              <w:t>8</w:t>
            </w:r>
          </w:p>
          <w:p w14:paraId="580D6CCF" w14:textId="77777777" w:rsidR="00970B30" w:rsidRPr="00934842" w:rsidRDefault="00D9163D" w:rsidP="00392EDC">
            <w:pPr>
              <w:ind w:right="-874"/>
              <w:rPr>
                <w:rFonts w:ascii="Arial" w:hAnsi="Arial" w:cs="Arial"/>
                <w:color w:val="000000"/>
              </w:rPr>
            </w:pPr>
            <w:r>
              <w:rPr>
                <w:rFonts w:ascii="Arial" w:hAnsi="Arial" w:cs="Arial"/>
                <w:color w:val="000000"/>
              </w:rPr>
              <w:t>8</w:t>
            </w:r>
          </w:p>
        </w:tc>
      </w:tr>
      <w:tr w:rsidR="00B72DD0" w:rsidRPr="00934842" w14:paraId="29D49AEB" w14:textId="77777777" w:rsidTr="00A16BD0">
        <w:tc>
          <w:tcPr>
            <w:tcW w:w="9470" w:type="dxa"/>
          </w:tcPr>
          <w:p w14:paraId="1C837EA0" w14:textId="77777777" w:rsidR="00B72DD0" w:rsidRPr="00934842" w:rsidRDefault="00B72DD0" w:rsidP="00392EDC">
            <w:pPr>
              <w:ind w:right="-874"/>
              <w:rPr>
                <w:rFonts w:ascii="Arial" w:hAnsi="Arial" w:cs="Arial"/>
                <w:b/>
                <w:color w:val="000000"/>
              </w:rPr>
            </w:pPr>
            <w:r w:rsidRPr="00934842">
              <w:rPr>
                <w:rFonts w:ascii="Arial" w:hAnsi="Arial" w:cs="Arial"/>
                <w:b/>
                <w:color w:val="000000"/>
              </w:rPr>
              <w:t>Granting discretionary succession rights</w:t>
            </w:r>
          </w:p>
          <w:p w14:paraId="7B9D8A4D" w14:textId="77777777" w:rsidR="00B72DD0" w:rsidRPr="00934842" w:rsidRDefault="00B72DD0" w:rsidP="00392EDC">
            <w:pPr>
              <w:ind w:left="360" w:right="-874"/>
              <w:rPr>
                <w:rFonts w:ascii="Arial" w:hAnsi="Arial" w:cs="Arial"/>
                <w:b/>
                <w:color w:val="000000"/>
              </w:rPr>
            </w:pPr>
          </w:p>
        </w:tc>
        <w:tc>
          <w:tcPr>
            <w:tcW w:w="790" w:type="dxa"/>
          </w:tcPr>
          <w:p w14:paraId="65CFA56E" w14:textId="77777777" w:rsidR="00B72DD0" w:rsidRPr="00934842" w:rsidRDefault="00A021BB" w:rsidP="00392EDC">
            <w:pPr>
              <w:ind w:right="-874"/>
              <w:rPr>
                <w:rFonts w:ascii="Arial" w:hAnsi="Arial" w:cs="Arial"/>
                <w:b/>
                <w:color w:val="000000"/>
              </w:rPr>
            </w:pPr>
            <w:r>
              <w:rPr>
                <w:rFonts w:ascii="Arial" w:hAnsi="Arial" w:cs="Arial"/>
                <w:b/>
                <w:color w:val="000000"/>
              </w:rPr>
              <w:t>9</w:t>
            </w:r>
          </w:p>
          <w:p w14:paraId="6A0A57BB" w14:textId="77777777" w:rsidR="00B72DD0" w:rsidRPr="00934842" w:rsidRDefault="00B72DD0" w:rsidP="00392EDC">
            <w:pPr>
              <w:ind w:right="-874"/>
              <w:rPr>
                <w:rFonts w:ascii="Arial" w:hAnsi="Arial" w:cs="Arial"/>
                <w:color w:val="000000"/>
              </w:rPr>
            </w:pPr>
          </w:p>
        </w:tc>
      </w:tr>
      <w:tr w:rsidR="00B72DD0" w:rsidRPr="00934842" w14:paraId="2D2D252D" w14:textId="77777777" w:rsidTr="00A16BD0">
        <w:tc>
          <w:tcPr>
            <w:tcW w:w="9470" w:type="dxa"/>
          </w:tcPr>
          <w:p w14:paraId="5C47F81F" w14:textId="77777777" w:rsidR="00A16BD0" w:rsidRPr="00A16BD0" w:rsidRDefault="00A16BD0" w:rsidP="00A16BD0">
            <w:pPr>
              <w:pStyle w:val="ListParagraph"/>
              <w:ind w:left="0" w:right="-874"/>
              <w:rPr>
                <w:rFonts w:ascii="Arial" w:hAnsi="Arial" w:cs="Arial"/>
                <w:color w:val="000000"/>
              </w:rPr>
            </w:pPr>
            <w:r w:rsidRPr="00A16BD0">
              <w:rPr>
                <w:rFonts w:ascii="Arial" w:hAnsi="Arial" w:cs="Arial"/>
                <w:b/>
              </w:rPr>
              <w:t>Provision of advice and assistance to household members of a deceased tenant</w:t>
            </w:r>
          </w:p>
          <w:p w14:paraId="5006936E" w14:textId="77777777" w:rsidR="00B72DD0" w:rsidRPr="00A16BD0" w:rsidRDefault="00B72DD0" w:rsidP="00392EDC">
            <w:pPr>
              <w:ind w:left="360" w:right="-874"/>
              <w:rPr>
                <w:rFonts w:ascii="Arial" w:hAnsi="Arial" w:cs="Arial"/>
                <w:b/>
                <w:color w:val="000000"/>
              </w:rPr>
            </w:pPr>
          </w:p>
        </w:tc>
        <w:tc>
          <w:tcPr>
            <w:tcW w:w="790" w:type="dxa"/>
          </w:tcPr>
          <w:p w14:paraId="2752B875" w14:textId="77777777" w:rsidR="00B72DD0" w:rsidRPr="00934842" w:rsidRDefault="00A021BB" w:rsidP="00392EDC">
            <w:pPr>
              <w:ind w:right="-874"/>
              <w:rPr>
                <w:rFonts w:ascii="Arial" w:hAnsi="Arial" w:cs="Arial"/>
                <w:b/>
                <w:color w:val="000000"/>
              </w:rPr>
            </w:pPr>
            <w:r>
              <w:rPr>
                <w:rFonts w:ascii="Arial" w:hAnsi="Arial" w:cs="Arial"/>
                <w:b/>
                <w:color w:val="000000"/>
              </w:rPr>
              <w:t>10</w:t>
            </w:r>
          </w:p>
          <w:p w14:paraId="2B7B1DA6" w14:textId="77777777" w:rsidR="00B72DD0" w:rsidRPr="00934842" w:rsidRDefault="00B72DD0" w:rsidP="00392EDC">
            <w:pPr>
              <w:ind w:right="-874"/>
              <w:rPr>
                <w:rFonts w:ascii="Arial" w:hAnsi="Arial" w:cs="Arial"/>
                <w:color w:val="000000"/>
              </w:rPr>
            </w:pPr>
          </w:p>
        </w:tc>
      </w:tr>
      <w:tr w:rsidR="00B72DD0" w:rsidRPr="00934842" w14:paraId="4C1B7F4E" w14:textId="77777777" w:rsidTr="00A16BD0">
        <w:tc>
          <w:tcPr>
            <w:tcW w:w="9470" w:type="dxa"/>
          </w:tcPr>
          <w:p w14:paraId="37F7E7D8" w14:textId="77777777" w:rsidR="00B72DD0" w:rsidRPr="00934842" w:rsidRDefault="00A16BD0" w:rsidP="00392EDC">
            <w:pPr>
              <w:ind w:right="-874"/>
              <w:rPr>
                <w:rFonts w:ascii="Arial" w:hAnsi="Arial" w:cs="Arial"/>
                <w:b/>
                <w:color w:val="000000"/>
              </w:rPr>
            </w:pPr>
            <w:r>
              <w:rPr>
                <w:rFonts w:ascii="Arial" w:hAnsi="Arial" w:cs="Arial"/>
                <w:b/>
                <w:color w:val="000000"/>
              </w:rPr>
              <w:t>Appeals and complaints</w:t>
            </w:r>
          </w:p>
          <w:p w14:paraId="3C8621A9" w14:textId="77777777" w:rsidR="00B72DD0" w:rsidRPr="00934842" w:rsidRDefault="00B72DD0" w:rsidP="00392EDC">
            <w:pPr>
              <w:ind w:right="-874"/>
              <w:rPr>
                <w:rFonts w:ascii="Arial" w:hAnsi="Arial" w:cs="Arial"/>
                <w:b/>
                <w:color w:val="000000"/>
              </w:rPr>
            </w:pPr>
          </w:p>
        </w:tc>
        <w:tc>
          <w:tcPr>
            <w:tcW w:w="790" w:type="dxa"/>
          </w:tcPr>
          <w:p w14:paraId="00C62238" w14:textId="77777777" w:rsidR="00B72DD0" w:rsidRPr="00934842" w:rsidRDefault="001E75EB" w:rsidP="00392EDC">
            <w:pPr>
              <w:ind w:right="-874"/>
              <w:rPr>
                <w:rFonts w:ascii="Arial" w:hAnsi="Arial" w:cs="Arial"/>
                <w:b/>
                <w:color w:val="000000"/>
              </w:rPr>
            </w:pPr>
            <w:r>
              <w:rPr>
                <w:rFonts w:ascii="Arial" w:hAnsi="Arial" w:cs="Arial"/>
                <w:b/>
                <w:color w:val="000000"/>
              </w:rPr>
              <w:t>1</w:t>
            </w:r>
            <w:r w:rsidR="00A021BB">
              <w:rPr>
                <w:rFonts w:ascii="Arial" w:hAnsi="Arial" w:cs="Arial"/>
                <w:b/>
                <w:color w:val="000000"/>
              </w:rPr>
              <w:t>1</w:t>
            </w:r>
          </w:p>
        </w:tc>
      </w:tr>
      <w:tr w:rsidR="00A16BD0" w:rsidRPr="00934842" w14:paraId="2410F4BD" w14:textId="77777777" w:rsidTr="00A16BD0">
        <w:tc>
          <w:tcPr>
            <w:tcW w:w="9470" w:type="dxa"/>
          </w:tcPr>
          <w:p w14:paraId="55EFBFAF" w14:textId="77777777" w:rsidR="00A16BD0" w:rsidRPr="00A16BD0" w:rsidRDefault="00A16BD0" w:rsidP="00A16BD0">
            <w:pPr>
              <w:ind w:right="-874"/>
              <w:rPr>
                <w:rFonts w:ascii="Arial" w:hAnsi="Arial" w:cs="Arial"/>
                <w:b/>
              </w:rPr>
            </w:pPr>
            <w:r w:rsidRPr="00A16BD0">
              <w:rPr>
                <w:rFonts w:ascii="Arial" w:hAnsi="Arial" w:cs="Arial"/>
                <w:b/>
              </w:rPr>
              <w:t>Approach to tenancy management</w:t>
            </w:r>
          </w:p>
          <w:p w14:paraId="6999748A" w14:textId="77777777" w:rsidR="00A16BD0" w:rsidRDefault="00A16BD0" w:rsidP="00A16BD0">
            <w:pPr>
              <w:pStyle w:val="ListParagraph"/>
              <w:numPr>
                <w:ilvl w:val="0"/>
                <w:numId w:val="21"/>
              </w:numPr>
              <w:ind w:right="-874"/>
              <w:rPr>
                <w:rFonts w:ascii="Arial" w:hAnsi="Arial" w:cs="Arial"/>
                <w:bCs/>
                <w:color w:val="000000"/>
              </w:rPr>
            </w:pPr>
            <w:r w:rsidRPr="00A16BD0">
              <w:rPr>
                <w:rFonts w:ascii="Arial" w:hAnsi="Arial" w:cs="Arial"/>
                <w:bCs/>
                <w:color w:val="000000"/>
              </w:rPr>
              <w:t>Tackling tenancy fraud</w:t>
            </w:r>
          </w:p>
          <w:p w14:paraId="3F18B56A" w14:textId="77777777" w:rsidR="00A16BD0" w:rsidRPr="00A16BD0" w:rsidRDefault="00A16BD0" w:rsidP="00A16BD0">
            <w:pPr>
              <w:pStyle w:val="ListParagraph"/>
              <w:numPr>
                <w:ilvl w:val="0"/>
                <w:numId w:val="21"/>
              </w:numPr>
              <w:ind w:right="-874"/>
              <w:rPr>
                <w:rFonts w:ascii="Arial" w:hAnsi="Arial" w:cs="Arial"/>
                <w:bCs/>
                <w:color w:val="000000"/>
              </w:rPr>
            </w:pPr>
            <w:r w:rsidRPr="00A16BD0">
              <w:rPr>
                <w:rFonts w:ascii="Arial" w:hAnsi="Arial" w:cs="Arial"/>
              </w:rPr>
              <w:t>Interventions to sustain tenancies and prevent unnecessary evictions</w:t>
            </w:r>
          </w:p>
          <w:p w14:paraId="31F470D6" w14:textId="77777777" w:rsidR="00A16BD0" w:rsidRPr="00A16BD0" w:rsidRDefault="00A16BD0" w:rsidP="00A16BD0">
            <w:pPr>
              <w:pStyle w:val="ListParagraph"/>
              <w:ind w:right="-874"/>
              <w:rPr>
                <w:rFonts w:ascii="Arial" w:hAnsi="Arial" w:cs="Arial"/>
                <w:bCs/>
                <w:color w:val="000000"/>
              </w:rPr>
            </w:pPr>
          </w:p>
        </w:tc>
        <w:tc>
          <w:tcPr>
            <w:tcW w:w="790" w:type="dxa"/>
          </w:tcPr>
          <w:p w14:paraId="0999869B" w14:textId="77777777" w:rsidR="00A16BD0" w:rsidRDefault="001E75EB" w:rsidP="00392EDC">
            <w:pPr>
              <w:ind w:right="-874"/>
              <w:rPr>
                <w:rFonts w:ascii="Arial" w:hAnsi="Arial" w:cs="Arial"/>
                <w:b/>
                <w:color w:val="000000"/>
              </w:rPr>
            </w:pPr>
            <w:r>
              <w:rPr>
                <w:rFonts w:ascii="Arial" w:hAnsi="Arial" w:cs="Arial"/>
                <w:b/>
                <w:color w:val="000000"/>
              </w:rPr>
              <w:t>1</w:t>
            </w:r>
            <w:r w:rsidR="00A021BB">
              <w:rPr>
                <w:rFonts w:ascii="Arial" w:hAnsi="Arial" w:cs="Arial"/>
                <w:b/>
                <w:color w:val="000000"/>
              </w:rPr>
              <w:t>1</w:t>
            </w:r>
          </w:p>
          <w:p w14:paraId="61CD9903" w14:textId="77777777" w:rsidR="007E0309" w:rsidRDefault="001E75EB" w:rsidP="00392EDC">
            <w:pPr>
              <w:ind w:right="-874"/>
              <w:rPr>
                <w:rFonts w:ascii="Arial" w:hAnsi="Arial" w:cs="Arial"/>
                <w:bCs/>
                <w:color w:val="000000"/>
              </w:rPr>
            </w:pPr>
            <w:r>
              <w:rPr>
                <w:rFonts w:ascii="Arial" w:hAnsi="Arial" w:cs="Arial"/>
                <w:bCs/>
                <w:color w:val="000000"/>
              </w:rPr>
              <w:t>1</w:t>
            </w:r>
            <w:r w:rsidR="00A021BB">
              <w:rPr>
                <w:rFonts w:ascii="Arial" w:hAnsi="Arial" w:cs="Arial"/>
                <w:bCs/>
                <w:color w:val="000000"/>
              </w:rPr>
              <w:t>1</w:t>
            </w:r>
          </w:p>
          <w:p w14:paraId="2773E47A" w14:textId="77777777" w:rsidR="007E0309" w:rsidRPr="007E0309" w:rsidRDefault="00B83576" w:rsidP="00392EDC">
            <w:pPr>
              <w:ind w:right="-874"/>
              <w:rPr>
                <w:rFonts w:ascii="Arial" w:hAnsi="Arial" w:cs="Arial"/>
                <w:bCs/>
                <w:color w:val="000000"/>
              </w:rPr>
            </w:pPr>
            <w:r>
              <w:rPr>
                <w:rFonts w:ascii="Arial" w:hAnsi="Arial" w:cs="Arial"/>
                <w:bCs/>
                <w:color w:val="000000"/>
              </w:rPr>
              <w:t>1</w:t>
            </w:r>
            <w:r w:rsidR="00A021BB">
              <w:rPr>
                <w:rFonts w:ascii="Arial" w:hAnsi="Arial" w:cs="Arial"/>
                <w:bCs/>
                <w:color w:val="000000"/>
              </w:rPr>
              <w:t>2</w:t>
            </w:r>
          </w:p>
        </w:tc>
      </w:tr>
      <w:tr w:rsidR="00B72DD0" w:rsidRPr="00934842" w14:paraId="21ED806F" w14:textId="77777777" w:rsidTr="00A16BD0">
        <w:tc>
          <w:tcPr>
            <w:tcW w:w="9470" w:type="dxa"/>
          </w:tcPr>
          <w:p w14:paraId="3989B706" w14:textId="77777777" w:rsidR="00B72DD0" w:rsidRPr="007E0309" w:rsidRDefault="00B72DD0" w:rsidP="00392EDC">
            <w:pPr>
              <w:ind w:right="-874"/>
              <w:rPr>
                <w:rFonts w:ascii="Arial" w:hAnsi="Arial" w:cs="Arial"/>
                <w:b/>
                <w:bCs/>
                <w:color w:val="000000"/>
              </w:rPr>
            </w:pPr>
            <w:r w:rsidRPr="00934842">
              <w:rPr>
                <w:rFonts w:ascii="Arial" w:hAnsi="Arial" w:cs="Arial"/>
                <w:b/>
                <w:color w:val="000000"/>
              </w:rPr>
              <w:t>Appendix 1: Succession rights for</w:t>
            </w:r>
            <w:r w:rsidRPr="00934842">
              <w:rPr>
                <w:rFonts w:ascii="Arial" w:hAnsi="Arial" w:cs="Arial"/>
                <w:color w:val="000000"/>
              </w:rPr>
              <w:t xml:space="preserve"> </w:t>
            </w:r>
            <w:r w:rsidRPr="007E0309">
              <w:rPr>
                <w:rFonts w:ascii="Arial" w:hAnsi="Arial" w:cs="Arial"/>
                <w:b/>
                <w:bCs/>
                <w:color w:val="000000"/>
              </w:rPr>
              <w:t>tenancies that started after 1st April 2012</w:t>
            </w:r>
          </w:p>
          <w:p w14:paraId="733F3C24" w14:textId="77777777" w:rsidR="00B72DD0" w:rsidRPr="00A80E88" w:rsidRDefault="00B72DD0" w:rsidP="00A80E88">
            <w:pPr>
              <w:numPr>
                <w:ilvl w:val="0"/>
                <w:numId w:val="9"/>
              </w:numPr>
              <w:ind w:right="-874"/>
              <w:rPr>
                <w:rFonts w:ascii="Arial" w:hAnsi="Arial" w:cs="Arial"/>
                <w:b/>
                <w:color w:val="000000"/>
              </w:rPr>
            </w:pPr>
            <w:r w:rsidRPr="00934842">
              <w:rPr>
                <w:rFonts w:ascii="Arial" w:hAnsi="Arial" w:cs="Arial"/>
                <w:color w:val="000000"/>
              </w:rPr>
              <w:t xml:space="preserve">Succession rights: Secure tenancies </w:t>
            </w:r>
            <w:r w:rsidRPr="00A80E88">
              <w:rPr>
                <w:rFonts w:ascii="Arial" w:hAnsi="Arial" w:cs="Arial"/>
                <w:color w:val="000000"/>
              </w:rPr>
              <w:t>that started after 1st April 2012</w:t>
            </w:r>
          </w:p>
          <w:p w14:paraId="5BF31E8C" w14:textId="77777777" w:rsidR="007E0309" w:rsidRPr="00934842" w:rsidRDefault="007E0309" w:rsidP="007E0309">
            <w:pPr>
              <w:ind w:left="720" w:right="-874"/>
              <w:rPr>
                <w:rFonts w:ascii="Arial" w:hAnsi="Arial" w:cs="Arial"/>
                <w:color w:val="000000"/>
              </w:rPr>
            </w:pPr>
          </w:p>
        </w:tc>
        <w:tc>
          <w:tcPr>
            <w:tcW w:w="790" w:type="dxa"/>
          </w:tcPr>
          <w:p w14:paraId="18E7C93D" w14:textId="77777777" w:rsidR="00B72DD0" w:rsidRPr="007E0309" w:rsidRDefault="00970B30" w:rsidP="00392EDC">
            <w:pPr>
              <w:ind w:right="-874"/>
              <w:rPr>
                <w:rFonts w:ascii="Arial" w:hAnsi="Arial" w:cs="Arial"/>
                <w:b/>
                <w:bCs/>
                <w:color w:val="000000"/>
              </w:rPr>
            </w:pPr>
            <w:r>
              <w:rPr>
                <w:rFonts w:ascii="Arial" w:hAnsi="Arial" w:cs="Arial"/>
                <w:b/>
                <w:bCs/>
                <w:color w:val="000000"/>
              </w:rPr>
              <w:t>1</w:t>
            </w:r>
            <w:r w:rsidR="00A021BB">
              <w:rPr>
                <w:rFonts w:ascii="Arial" w:hAnsi="Arial" w:cs="Arial"/>
                <w:b/>
                <w:bCs/>
                <w:color w:val="000000"/>
              </w:rPr>
              <w:t>3</w:t>
            </w:r>
          </w:p>
          <w:p w14:paraId="0F1FDD9D" w14:textId="77777777" w:rsidR="00B72DD0" w:rsidRPr="00934842" w:rsidRDefault="00970B30" w:rsidP="00392EDC">
            <w:pPr>
              <w:ind w:right="-874"/>
              <w:rPr>
                <w:rFonts w:ascii="Arial" w:hAnsi="Arial" w:cs="Arial"/>
                <w:color w:val="000000"/>
              </w:rPr>
            </w:pPr>
            <w:r>
              <w:rPr>
                <w:rFonts w:ascii="Arial" w:hAnsi="Arial" w:cs="Arial"/>
                <w:color w:val="000000"/>
              </w:rPr>
              <w:t>1</w:t>
            </w:r>
            <w:r w:rsidR="00A021BB">
              <w:rPr>
                <w:rFonts w:ascii="Arial" w:hAnsi="Arial" w:cs="Arial"/>
                <w:color w:val="000000"/>
              </w:rPr>
              <w:t>3</w:t>
            </w:r>
          </w:p>
          <w:p w14:paraId="54858934" w14:textId="77777777" w:rsidR="00B72DD0" w:rsidRPr="00934842" w:rsidRDefault="00B72DD0" w:rsidP="00392EDC">
            <w:pPr>
              <w:ind w:right="-874"/>
              <w:rPr>
                <w:rFonts w:ascii="Arial" w:hAnsi="Arial" w:cs="Arial"/>
                <w:color w:val="000000"/>
              </w:rPr>
            </w:pPr>
          </w:p>
        </w:tc>
      </w:tr>
      <w:tr w:rsidR="00B72DD0" w:rsidRPr="00934842" w14:paraId="0E183A73" w14:textId="77777777" w:rsidTr="00A16BD0">
        <w:tc>
          <w:tcPr>
            <w:tcW w:w="9470" w:type="dxa"/>
          </w:tcPr>
          <w:p w14:paraId="2F64F56C" w14:textId="77777777" w:rsidR="00B72DD0" w:rsidRPr="00934842" w:rsidRDefault="00B72DD0" w:rsidP="00392EDC">
            <w:pPr>
              <w:ind w:right="-874"/>
              <w:rPr>
                <w:rFonts w:ascii="Arial" w:hAnsi="Arial" w:cs="Arial"/>
                <w:color w:val="000000"/>
              </w:rPr>
            </w:pPr>
            <w:r w:rsidRPr="00934842">
              <w:rPr>
                <w:rFonts w:ascii="Arial" w:hAnsi="Arial" w:cs="Arial"/>
                <w:b/>
                <w:color w:val="000000"/>
              </w:rPr>
              <w:t xml:space="preserve">Appendix 2: Succession rights for </w:t>
            </w:r>
            <w:r w:rsidR="007E0309" w:rsidRPr="007E0309">
              <w:rPr>
                <w:rFonts w:ascii="Arial" w:hAnsi="Arial" w:cs="Arial"/>
                <w:b/>
                <w:color w:val="000000"/>
              </w:rPr>
              <w:t>t</w:t>
            </w:r>
            <w:r w:rsidRPr="007E0309">
              <w:rPr>
                <w:rFonts w:ascii="Arial" w:hAnsi="Arial" w:cs="Arial"/>
                <w:b/>
                <w:color w:val="000000"/>
              </w:rPr>
              <w:t>enancies that started before 1st April 2012</w:t>
            </w:r>
          </w:p>
          <w:p w14:paraId="4F27F492" w14:textId="77777777" w:rsidR="00B72DD0" w:rsidRPr="00934842" w:rsidRDefault="00B72DD0" w:rsidP="00AA4414">
            <w:pPr>
              <w:numPr>
                <w:ilvl w:val="0"/>
                <w:numId w:val="9"/>
              </w:numPr>
              <w:ind w:right="-874"/>
              <w:rPr>
                <w:rFonts w:ascii="Arial" w:hAnsi="Arial" w:cs="Arial"/>
                <w:color w:val="000000"/>
              </w:rPr>
            </w:pPr>
            <w:r w:rsidRPr="00934842">
              <w:rPr>
                <w:rFonts w:ascii="Arial" w:hAnsi="Arial" w:cs="Arial"/>
                <w:color w:val="000000"/>
              </w:rPr>
              <w:t>Succession rights: Secure tenancies that started before 1st April 2012</w:t>
            </w:r>
          </w:p>
          <w:p w14:paraId="4ADE51B1" w14:textId="77777777" w:rsidR="00B72DD0" w:rsidRPr="00934842" w:rsidRDefault="00B72DD0" w:rsidP="007E0309">
            <w:pPr>
              <w:ind w:left="360" w:right="-874"/>
              <w:rPr>
                <w:rFonts w:ascii="Arial" w:hAnsi="Arial" w:cs="Arial"/>
                <w:color w:val="000000"/>
              </w:rPr>
            </w:pPr>
          </w:p>
        </w:tc>
        <w:tc>
          <w:tcPr>
            <w:tcW w:w="790" w:type="dxa"/>
          </w:tcPr>
          <w:p w14:paraId="4DF0C62C" w14:textId="77777777" w:rsidR="00B72DD0" w:rsidRPr="007E0309" w:rsidRDefault="007E0309" w:rsidP="00392EDC">
            <w:pPr>
              <w:ind w:right="-874"/>
              <w:rPr>
                <w:rFonts w:ascii="Arial" w:hAnsi="Arial" w:cs="Arial"/>
                <w:b/>
                <w:bCs/>
                <w:color w:val="000000"/>
              </w:rPr>
            </w:pPr>
            <w:r w:rsidRPr="007E0309">
              <w:rPr>
                <w:rFonts w:ascii="Arial" w:hAnsi="Arial" w:cs="Arial"/>
                <w:b/>
                <w:bCs/>
                <w:color w:val="000000"/>
              </w:rPr>
              <w:t>1</w:t>
            </w:r>
            <w:r w:rsidR="00A021BB">
              <w:rPr>
                <w:rFonts w:ascii="Arial" w:hAnsi="Arial" w:cs="Arial"/>
                <w:b/>
                <w:bCs/>
                <w:color w:val="000000"/>
              </w:rPr>
              <w:t>4</w:t>
            </w:r>
          </w:p>
          <w:p w14:paraId="28EF5BC7" w14:textId="77777777" w:rsidR="00B72DD0" w:rsidRPr="00934842" w:rsidRDefault="007E0309" w:rsidP="00392EDC">
            <w:pPr>
              <w:ind w:right="-874"/>
              <w:rPr>
                <w:rFonts w:ascii="Arial" w:hAnsi="Arial" w:cs="Arial"/>
                <w:color w:val="000000"/>
              </w:rPr>
            </w:pPr>
            <w:r>
              <w:rPr>
                <w:rFonts w:ascii="Arial" w:hAnsi="Arial" w:cs="Arial"/>
                <w:color w:val="000000"/>
              </w:rPr>
              <w:t>1</w:t>
            </w:r>
            <w:r w:rsidR="00A021BB">
              <w:rPr>
                <w:rFonts w:ascii="Arial" w:hAnsi="Arial" w:cs="Arial"/>
                <w:color w:val="000000"/>
              </w:rPr>
              <w:t>4</w:t>
            </w:r>
          </w:p>
          <w:p w14:paraId="01A0BA50" w14:textId="77777777" w:rsidR="00B72DD0" w:rsidRPr="00934842" w:rsidRDefault="00B72DD0" w:rsidP="00392EDC">
            <w:pPr>
              <w:ind w:right="-874"/>
              <w:rPr>
                <w:rFonts w:ascii="Arial" w:hAnsi="Arial" w:cs="Arial"/>
                <w:color w:val="000000"/>
              </w:rPr>
            </w:pPr>
          </w:p>
        </w:tc>
      </w:tr>
    </w:tbl>
    <w:p w14:paraId="528707C6" w14:textId="77777777" w:rsidR="00B72DD0" w:rsidRPr="00934842" w:rsidRDefault="00B72DD0" w:rsidP="00585001">
      <w:pPr>
        <w:ind w:left="-540" w:right="-874" w:firstLine="540"/>
        <w:rPr>
          <w:rFonts w:ascii="Arial" w:hAnsi="Arial" w:cs="Arial"/>
          <w:b/>
          <w:u w:val="single"/>
        </w:rPr>
      </w:pPr>
      <w:r w:rsidRPr="00934842">
        <w:rPr>
          <w:rFonts w:ascii="Arial" w:hAnsi="Arial" w:cs="Arial"/>
          <w:b/>
          <w:u w:val="single"/>
        </w:rPr>
        <w:br w:type="page"/>
      </w:r>
      <w:r w:rsidRPr="00934842">
        <w:rPr>
          <w:rFonts w:ascii="Arial" w:hAnsi="Arial" w:cs="Arial"/>
          <w:b/>
          <w:u w:val="single"/>
        </w:rPr>
        <w:lastRenderedPageBreak/>
        <w:t>Introduction</w:t>
      </w:r>
      <w:r w:rsidR="00A6595C">
        <w:rPr>
          <w:rFonts w:ascii="Arial" w:hAnsi="Arial" w:cs="Arial"/>
          <w:b/>
          <w:u w:val="single"/>
        </w:rPr>
        <w:t xml:space="preserve"> </w:t>
      </w:r>
    </w:p>
    <w:p w14:paraId="21420C8A" w14:textId="77777777" w:rsidR="00B72DD0" w:rsidRPr="00934842" w:rsidRDefault="00B72DD0" w:rsidP="00B72DD0">
      <w:pPr>
        <w:ind w:right="-874"/>
        <w:rPr>
          <w:rFonts w:ascii="Arial" w:hAnsi="Arial" w:cs="Arial"/>
          <w:b/>
          <w:u w:val="single"/>
        </w:rPr>
      </w:pPr>
    </w:p>
    <w:p w14:paraId="7DE7BE94" w14:textId="77777777" w:rsidR="00964B1B" w:rsidRPr="0027359F" w:rsidRDefault="0027359F" w:rsidP="00585001">
      <w:pPr>
        <w:numPr>
          <w:ilvl w:val="0"/>
          <w:numId w:val="14"/>
        </w:numPr>
        <w:tabs>
          <w:tab w:val="clear" w:pos="-1080"/>
          <w:tab w:val="num" w:pos="-540"/>
        </w:tabs>
        <w:ind w:left="0" w:right="-874"/>
        <w:rPr>
          <w:rFonts w:ascii="Arial" w:hAnsi="Arial" w:cs="Arial"/>
        </w:rPr>
      </w:pPr>
      <w:r w:rsidRPr="0027359F">
        <w:rPr>
          <w:rFonts w:ascii="Arial" w:hAnsi="Arial" w:cs="Arial"/>
        </w:rPr>
        <w:t>It is a regulatory requirement that registered providers of social housing in England must publish clear and accessible policies which outline their approach to tenancy management, including interventions to sustain tenancies and prevent unnecessary evictions and tackling tenancy fraud, and set out:</w:t>
      </w:r>
    </w:p>
    <w:p w14:paraId="3E8739AA" w14:textId="77777777" w:rsidR="00964B1B" w:rsidRPr="001B3B1B" w:rsidRDefault="00964B1B" w:rsidP="00585001">
      <w:pPr>
        <w:tabs>
          <w:tab w:val="num" w:pos="-540"/>
        </w:tabs>
        <w:ind w:right="-874"/>
        <w:rPr>
          <w:rFonts w:ascii="Arial" w:hAnsi="Arial" w:cs="Arial"/>
        </w:rPr>
      </w:pPr>
    </w:p>
    <w:p w14:paraId="64BBF903" w14:textId="77777777" w:rsidR="00964B1B" w:rsidRDefault="00015F0A" w:rsidP="00585001">
      <w:pPr>
        <w:numPr>
          <w:ilvl w:val="1"/>
          <w:numId w:val="14"/>
        </w:numPr>
        <w:tabs>
          <w:tab w:val="num" w:pos="-180"/>
        </w:tabs>
        <w:ind w:left="284" w:right="-874"/>
        <w:rPr>
          <w:rFonts w:ascii="Arial" w:hAnsi="Arial" w:cs="Arial"/>
        </w:rPr>
      </w:pPr>
      <w:r>
        <w:rPr>
          <w:rFonts w:ascii="Arial" w:hAnsi="Arial" w:cs="Arial"/>
        </w:rPr>
        <w:t>t</w:t>
      </w:r>
      <w:r w:rsidR="00964B1B" w:rsidRPr="001B3B1B">
        <w:rPr>
          <w:rFonts w:ascii="Arial" w:hAnsi="Arial" w:cs="Arial"/>
        </w:rPr>
        <w:t>he type</w:t>
      </w:r>
      <w:r w:rsidR="00964B1B">
        <w:rPr>
          <w:rFonts w:ascii="Arial" w:hAnsi="Arial" w:cs="Arial"/>
        </w:rPr>
        <w:t xml:space="preserve"> and length of tenancies </w:t>
      </w:r>
      <w:r w:rsidR="00964B1B" w:rsidRPr="001B3B1B">
        <w:rPr>
          <w:rFonts w:ascii="Arial" w:hAnsi="Arial" w:cs="Arial"/>
        </w:rPr>
        <w:t>the</w:t>
      </w:r>
      <w:r w:rsidR="009733C0">
        <w:rPr>
          <w:rFonts w:ascii="Arial" w:hAnsi="Arial" w:cs="Arial"/>
        </w:rPr>
        <w:t>y</w:t>
      </w:r>
      <w:r w:rsidR="00964B1B" w:rsidRPr="001B3B1B">
        <w:rPr>
          <w:rFonts w:ascii="Arial" w:hAnsi="Arial" w:cs="Arial"/>
        </w:rPr>
        <w:t xml:space="preserve"> will grant</w:t>
      </w:r>
      <w:r w:rsidR="00B61A06">
        <w:rPr>
          <w:rFonts w:ascii="Arial" w:hAnsi="Arial" w:cs="Arial"/>
        </w:rPr>
        <w:t xml:space="preserve"> including the </w:t>
      </w:r>
      <w:r w:rsidR="00331D3F">
        <w:rPr>
          <w:rFonts w:ascii="Arial" w:hAnsi="Arial" w:cs="Arial"/>
        </w:rPr>
        <w:t>circumstances</w:t>
      </w:r>
      <w:r w:rsidR="00B61A06">
        <w:rPr>
          <w:rFonts w:ascii="Arial" w:hAnsi="Arial" w:cs="Arial"/>
        </w:rPr>
        <w:t xml:space="preserve"> in which they will grant </w:t>
      </w:r>
      <w:r w:rsidR="00331D3F">
        <w:rPr>
          <w:rFonts w:ascii="Arial" w:hAnsi="Arial" w:cs="Arial"/>
        </w:rPr>
        <w:t>tenancies of a particular type</w:t>
      </w:r>
      <w:r w:rsidR="00964B1B">
        <w:rPr>
          <w:rFonts w:ascii="Arial" w:hAnsi="Arial" w:cs="Arial"/>
        </w:rPr>
        <w:t>;</w:t>
      </w:r>
    </w:p>
    <w:p w14:paraId="1A4CC228" w14:textId="77777777" w:rsidR="00964B1B" w:rsidRPr="001B3B1B" w:rsidRDefault="00964B1B" w:rsidP="00585001">
      <w:pPr>
        <w:tabs>
          <w:tab w:val="num" w:pos="360"/>
        </w:tabs>
        <w:ind w:left="284" w:right="-874"/>
        <w:rPr>
          <w:rFonts w:ascii="Arial" w:hAnsi="Arial" w:cs="Arial"/>
        </w:rPr>
      </w:pPr>
    </w:p>
    <w:p w14:paraId="0DC138C0" w14:textId="77777777" w:rsidR="00964B1B" w:rsidRDefault="00015F0A" w:rsidP="00585001">
      <w:pPr>
        <w:numPr>
          <w:ilvl w:val="1"/>
          <w:numId w:val="14"/>
        </w:numPr>
        <w:tabs>
          <w:tab w:val="num" w:pos="-180"/>
        </w:tabs>
        <w:ind w:left="284" w:right="-874"/>
        <w:rPr>
          <w:rFonts w:ascii="Arial" w:hAnsi="Arial" w:cs="Arial"/>
        </w:rPr>
      </w:pPr>
      <w:r>
        <w:rPr>
          <w:rFonts w:ascii="Arial" w:hAnsi="Arial" w:cs="Arial"/>
        </w:rPr>
        <w:t>t</w:t>
      </w:r>
      <w:r w:rsidR="00964B1B" w:rsidRPr="001B3B1B">
        <w:rPr>
          <w:rFonts w:ascii="Arial" w:hAnsi="Arial" w:cs="Arial"/>
        </w:rPr>
        <w:t>he circumstances in which the</w:t>
      </w:r>
      <w:r w:rsidR="009733C0">
        <w:rPr>
          <w:rFonts w:ascii="Arial" w:hAnsi="Arial" w:cs="Arial"/>
        </w:rPr>
        <w:t xml:space="preserve">y </w:t>
      </w:r>
      <w:r w:rsidR="00964B1B" w:rsidRPr="001B3B1B">
        <w:rPr>
          <w:rFonts w:ascii="Arial" w:hAnsi="Arial" w:cs="Arial"/>
        </w:rPr>
        <w:t xml:space="preserve">may or may not grant </w:t>
      </w:r>
      <w:r w:rsidR="00964B1B">
        <w:rPr>
          <w:rFonts w:ascii="Arial" w:hAnsi="Arial" w:cs="Arial"/>
        </w:rPr>
        <w:t>a tenancy;</w:t>
      </w:r>
    </w:p>
    <w:p w14:paraId="48AAC46A" w14:textId="77777777" w:rsidR="00964B1B" w:rsidRDefault="00964B1B" w:rsidP="00585001">
      <w:pPr>
        <w:pStyle w:val="ListParagraph"/>
        <w:ind w:left="284"/>
        <w:rPr>
          <w:rFonts w:ascii="Arial" w:hAnsi="Arial" w:cs="Arial"/>
        </w:rPr>
      </w:pPr>
    </w:p>
    <w:p w14:paraId="5A3DE5DB" w14:textId="77777777" w:rsidR="00B04DDA" w:rsidRDefault="00015F0A" w:rsidP="00B04DDA">
      <w:pPr>
        <w:numPr>
          <w:ilvl w:val="1"/>
          <w:numId w:val="14"/>
        </w:numPr>
        <w:tabs>
          <w:tab w:val="num" w:pos="-180"/>
        </w:tabs>
        <w:ind w:left="284" w:right="-874"/>
        <w:rPr>
          <w:rFonts w:ascii="Arial" w:hAnsi="Arial" w:cs="Arial"/>
        </w:rPr>
      </w:pPr>
      <w:r>
        <w:rPr>
          <w:rFonts w:ascii="Arial" w:hAnsi="Arial" w:cs="Arial"/>
        </w:rPr>
        <w:t>t</w:t>
      </w:r>
      <w:r w:rsidR="00964B1B" w:rsidRPr="008D61E3">
        <w:rPr>
          <w:rFonts w:ascii="Arial" w:hAnsi="Arial" w:cs="Arial"/>
        </w:rPr>
        <w:t>he way in which a tenant or prospective tenant may complain about a decision on the tenancy they have been granted or the decision to not grant a tenancy;</w:t>
      </w:r>
    </w:p>
    <w:p w14:paraId="13A7EA1D" w14:textId="77777777" w:rsidR="00B04DDA" w:rsidRDefault="00B04DDA" w:rsidP="00B04DDA">
      <w:pPr>
        <w:tabs>
          <w:tab w:val="num" w:pos="360"/>
        </w:tabs>
        <w:ind w:left="284" w:right="-874"/>
        <w:rPr>
          <w:rFonts w:ascii="Arial" w:hAnsi="Arial" w:cs="Arial"/>
        </w:rPr>
      </w:pPr>
    </w:p>
    <w:p w14:paraId="2BCD0F10" w14:textId="77777777" w:rsidR="00B04DDA" w:rsidRPr="00B04DDA" w:rsidRDefault="00B04DDA" w:rsidP="00B04DDA">
      <w:pPr>
        <w:numPr>
          <w:ilvl w:val="1"/>
          <w:numId w:val="14"/>
        </w:numPr>
        <w:tabs>
          <w:tab w:val="num" w:pos="-180"/>
        </w:tabs>
        <w:ind w:left="284" w:right="-874"/>
        <w:rPr>
          <w:rFonts w:ascii="Arial" w:hAnsi="Arial" w:cs="Arial"/>
        </w:rPr>
      </w:pPr>
      <w:r w:rsidRPr="00B04DDA">
        <w:rPr>
          <w:rFonts w:ascii="Arial" w:hAnsi="Arial" w:cs="Arial"/>
        </w:rPr>
        <w:t>the way in which a tenant or prospective tenant may appeal against a decision made by the registered provider of social housing;</w:t>
      </w:r>
    </w:p>
    <w:p w14:paraId="74C798F3" w14:textId="77777777" w:rsidR="00964B1B" w:rsidRPr="001B3B1B" w:rsidRDefault="00964B1B" w:rsidP="00585001">
      <w:pPr>
        <w:tabs>
          <w:tab w:val="num" w:pos="-540"/>
          <w:tab w:val="num" w:pos="-180"/>
        </w:tabs>
        <w:ind w:left="284" w:right="-874" w:hanging="360"/>
        <w:rPr>
          <w:rFonts w:ascii="Arial" w:hAnsi="Arial" w:cs="Arial"/>
        </w:rPr>
      </w:pPr>
    </w:p>
    <w:p w14:paraId="28438EB3" w14:textId="77777777" w:rsidR="00964B1B" w:rsidRDefault="00015F0A" w:rsidP="00585001">
      <w:pPr>
        <w:numPr>
          <w:ilvl w:val="1"/>
          <w:numId w:val="14"/>
        </w:numPr>
        <w:tabs>
          <w:tab w:val="num" w:pos="-180"/>
        </w:tabs>
        <w:ind w:left="284" w:right="-874"/>
        <w:rPr>
          <w:rFonts w:ascii="Arial" w:hAnsi="Arial" w:cs="Arial"/>
        </w:rPr>
      </w:pPr>
      <w:r>
        <w:rPr>
          <w:rFonts w:ascii="Arial" w:hAnsi="Arial" w:cs="Arial"/>
        </w:rPr>
        <w:t>t</w:t>
      </w:r>
      <w:r w:rsidR="00964B1B" w:rsidRPr="001B3B1B">
        <w:rPr>
          <w:rFonts w:ascii="Arial" w:hAnsi="Arial" w:cs="Arial"/>
        </w:rPr>
        <w:t xml:space="preserve">he advice and assistance that </w:t>
      </w:r>
      <w:r w:rsidR="00385923">
        <w:rPr>
          <w:rFonts w:ascii="Arial" w:hAnsi="Arial" w:cs="Arial"/>
        </w:rPr>
        <w:t>they</w:t>
      </w:r>
      <w:r w:rsidR="00964B1B" w:rsidRPr="001B3B1B">
        <w:rPr>
          <w:rFonts w:ascii="Arial" w:hAnsi="Arial" w:cs="Arial"/>
        </w:rPr>
        <w:t xml:space="preserve"> give to tenants on finding alternative accommodation in the event that</w:t>
      </w:r>
      <w:r w:rsidR="00385923">
        <w:rPr>
          <w:rFonts w:ascii="Arial" w:hAnsi="Arial" w:cs="Arial"/>
        </w:rPr>
        <w:t xml:space="preserve"> a </w:t>
      </w:r>
      <w:r w:rsidR="00964B1B" w:rsidRPr="001B3B1B">
        <w:rPr>
          <w:rFonts w:ascii="Arial" w:hAnsi="Arial" w:cs="Arial"/>
        </w:rPr>
        <w:t>deci</w:t>
      </w:r>
      <w:r w:rsidR="00385923">
        <w:rPr>
          <w:rFonts w:ascii="Arial" w:hAnsi="Arial" w:cs="Arial"/>
        </w:rPr>
        <w:t>sion is made</w:t>
      </w:r>
      <w:r w:rsidR="00964B1B" w:rsidRPr="001B3B1B">
        <w:rPr>
          <w:rFonts w:ascii="Arial" w:hAnsi="Arial" w:cs="Arial"/>
        </w:rPr>
        <w:t xml:space="preserve"> not to grant </w:t>
      </w:r>
      <w:r w:rsidR="00964B1B">
        <w:rPr>
          <w:rFonts w:ascii="Arial" w:hAnsi="Arial" w:cs="Arial"/>
        </w:rPr>
        <w:t>a</w:t>
      </w:r>
      <w:r w:rsidR="00964B1B" w:rsidRPr="001B3B1B">
        <w:rPr>
          <w:rFonts w:ascii="Arial" w:hAnsi="Arial" w:cs="Arial"/>
        </w:rPr>
        <w:t xml:space="preserve"> tenancy; </w:t>
      </w:r>
    </w:p>
    <w:p w14:paraId="42C63C93" w14:textId="77777777" w:rsidR="00964B1B" w:rsidRPr="001B3B1B" w:rsidRDefault="00964B1B" w:rsidP="00585001">
      <w:pPr>
        <w:tabs>
          <w:tab w:val="num" w:pos="360"/>
        </w:tabs>
        <w:ind w:left="284" w:right="-874"/>
        <w:rPr>
          <w:rFonts w:ascii="Arial" w:hAnsi="Arial" w:cs="Arial"/>
        </w:rPr>
      </w:pPr>
    </w:p>
    <w:p w14:paraId="4A0E9B2F" w14:textId="77777777" w:rsidR="00964B1B" w:rsidRPr="001B3B1B" w:rsidRDefault="00015F0A" w:rsidP="00585001">
      <w:pPr>
        <w:numPr>
          <w:ilvl w:val="1"/>
          <w:numId w:val="14"/>
        </w:numPr>
        <w:tabs>
          <w:tab w:val="num" w:pos="-180"/>
        </w:tabs>
        <w:ind w:left="284" w:right="-874"/>
        <w:rPr>
          <w:rFonts w:ascii="Arial" w:hAnsi="Arial" w:cs="Arial"/>
        </w:rPr>
      </w:pPr>
      <w:r>
        <w:rPr>
          <w:rFonts w:ascii="Arial" w:hAnsi="Arial" w:cs="Arial"/>
        </w:rPr>
        <w:t>t</w:t>
      </w:r>
      <w:r w:rsidR="00964B1B" w:rsidRPr="001B3B1B">
        <w:rPr>
          <w:rFonts w:ascii="Arial" w:hAnsi="Arial" w:cs="Arial"/>
        </w:rPr>
        <w:t>he</w:t>
      </w:r>
      <w:r w:rsidR="00385923">
        <w:rPr>
          <w:rFonts w:ascii="Arial" w:hAnsi="Arial" w:cs="Arial"/>
        </w:rPr>
        <w:t xml:space="preserve">ir </w:t>
      </w:r>
      <w:r w:rsidR="00964B1B" w:rsidRPr="001B3B1B">
        <w:rPr>
          <w:rFonts w:ascii="Arial" w:hAnsi="Arial" w:cs="Arial"/>
        </w:rPr>
        <w:t xml:space="preserve">policy on taking into account the needs of those households who are vulnerable by reason of age, disability or illness, and households with children </w:t>
      </w:r>
      <w:r w:rsidR="00964B1B">
        <w:rPr>
          <w:rFonts w:ascii="Arial" w:hAnsi="Arial" w:cs="Arial"/>
        </w:rPr>
        <w:t>when allocating tenancies</w:t>
      </w:r>
      <w:r w:rsidR="00964B1B" w:rsidRPr="001B3B1B">
        <w:rPr>
          <w:rFonts w:ascii="Arial" w:hAnsi="Arial" w:cs="Arial"/>
        </w:rPr>
        <w:t>;</w:t>
      </w:r>
    </w:p>
    <w:p w14:paraId="2D64345D" w14:textId="77777777" w:rsidR="00964B1B" w:rsidRPr="001B3B1B" w:rsidRDefault="00964B1B" w:rsidP="00585001">
      <w:pPr>
        <w:tabs>
          <w:tab w:val="num" w:pos="-540"/>
          <w:tab w:val="num" w:pos="-180"/>
        </w:tabs>
        <w:ind w:left="284" w:right="-874"/>
        <w:rPr>
          <w:rFonts w:ascii="Arial" w:hAnsi="Arial" w:cs="Arial"/>
        </w:rPr>
      </w:pPr>
    </w:p>
    <w:p w14:paraId="7839A8E7" w14:textId="77777777" w:rsidR="00964B1B" w:rsidRPr="001B3B1B" w:rsidRDefault="00015F0A" w:rsidP="00585001">
      <w:pPr>
        <w:numPr>
          <w:ilvl w:val="1"/>
          <w:numId w:val="14"/>
        </w:numPr>
        <w:tabs>
          <w:tab w:val="num" w:pos="-180"/>
        </w:tabs>
        <w:ind w:left="284" w:right="-874"/>
        <w:rPr>
          <w:rFonts w:ascii="Arial" w:hAnsi="Arial" w:cs="Arial"/>
        </w:rPr>
      </w:pPr>
      <w:r>
        <w:rPr>
          <w:rFonts w:ascii="Arial" w:hAnsi="Arial" w:cs="Arial"/>
        </w:rPr>
        <w:t>t</w:t>
      </w:r>
      <w:r w:rsidR="001E0725">
        <w:rPr>
          <w:rFonts w:ascii="Arial" w:hAnsi="Arial" w:cs="Arial"/>
        </w:rPr>
        <w:t>heir policy on g</w:t>
      </w:r>
      <w:r w:rsidR="00964B1B" w:rsidRPr="001B3B1B">
        <w:rPr>
          <w:rFonts w:ascii="Arial" w:hAnsi="Arial" w:cs="Arial"/>
        </w:rPr>
        <w:t xml:space="preserve">ranting discretionary succession rights, taking account of the needs of vulnerable household members; </w:t>
      </w:r>
    </w:p>
    <w:p w14:paraId="57118CF1" w14:textId="77777777" w:rsidR="00964B1B" w:rsidRPr="001B3B1B" w:rsidRDefault="00964B1B" w:rsidP="00585001">
      <w:pPr>
        <w:tabs>
          <w:tab w:val="num" w:pos="-540"/>
          <w:tab w:val="num" w:pos="-180"/>
        </w:tabs>
        <w:ind w:left="284" w:right="-874" w:hanging="360"/>
        <w:rPr>
          <w:rFonts w:ascii="Arial" w:hAnsi="Arial" w:cs="Arial"/>
        </w:rPr>
      </w:pPr>
    </w:p>
    <w:p w14:paraId="5758F076" w14:textId="77777777" w:rsidR="00964B1B" w:rsidRDefault="00015F0A" w:rsidP="00585001">
      <w:pPr>
        <w:numPr>
          <w:ilvl w:val="1"/>
          <w:numId w:val="14"/>
        </w:numPr>
        <w:tabs>
          <w:tab w:val="num" w:pos="-180"/>
        </w:tabs>
        <w:ind w:left="284" w:right="-874"/>
        <w:rPr>
          <w:rFonts w:ascii="Arial" w:hAnsi="Arial" w:cs="Arial"/>
        </w:rPr>
      </w:pPr>
      <w:r>
        <w:rPr>
          <w:rFonts w:ascii="Arial" w:hAnsi="Arial" w:cs="Arial"/>
        </w:rPr>
        <w:t>t</w:t>
      </w:r>
      <w:r w:rsidR="00964B1B" w:rsidRPr="001B3B1B">
        <w:rPr>
          <w:rFonts w:ascii="Arial" w:hAnsi="Arial" w:cs="Arial"/>
        </w:rPr>
        <w:t>he</w:t>
      </w:r>
      <w:r w:rsidR="001E0725">
        <w:rPr>
          <w:rFonts w:ascii="Arial" w:hAnsi="Arial" w:cs="Arial"/>
        </w:rPr>
        <w:t>ir</w:t>
      </w:r>
      <w:r w:rsidR="00964B1B" w:rsidRPr="001B3B1B">
        <w:rPr>
          <w:rFonts w:ascii="Arial" w:hAnsi="Arial" w:cs="Arial"/>
        </w:rPr>
        <w:t xml:space="preserve"> approach to tenancy management, including interventions to sustain tenancies and prevent unnecessary evictions, and tackling tenancy fraud</w:t>
      </w:r>
      <w:r w:rsidR="00964B1B">
        <w:rPr>
          <w:rFonts w:ascii="Arial" w:hAnsi="Arial" w:cs="Arial"/>
        </w:rPr>
        <w:t>;</w:t>
      </w:r>
      <w:r w:rsidR="00444F91">
        <w:rPr>
          <w:rFonts w:ascii="Arial" w:hAnsi="Arial" w:cs="Arial"/>
        </w:rPr>
        <w:t xml:space="preserve"> and</w:t>
      </w:r>
    </w:p>
    <w:p w14:paraId="0A0DC2D3" w14:textId="77777777" w:rsidR="00964B1B" w:rsidRDefault="00964B1B" w:rsidP="00585001">
      <w:pPr>
        <w:pStyle w:val="ListParagraph"/>
        <w:ind w:left="284"/>
        <w:rPr>
          <w:rFonts w:ascii="Arial" w:hAnsi="Arial" w:cs="Arial"/>
        </w:rPr>
      </w:pPr>
    </w:p>
    <w:p w14:paraId="4CF7D7F7" w14:textId="77777777" w:rsidR="00964B1B" w:rsidRPr="00B04DDA" w:rsidRDefault="00934CE3" w:rsidP="00B04DDA">
      <w:pPr>
        <w:numPr>
          <w:ilvl w:val="1"/>
          <w:numId w:val="14"/>
        </w:numPr>
        <w:tabs>
          <w:tab w:val="num" w:pos="-180"/>
        </w:tabs>
        <w:ind w:left="284" w:right="-874"/>
        <w:rPr>
          <w:rFonts w:ascii="Arial" w:hAnsi="Arial" w:cs="Arial"/>
        </w:rPr>
      </w:pPr>
      <w:r>
        <w:rPr>
          <w:rFonts w:ascii="Arial" w:hAnsi="Arial" w:cs="Arial"/>
        </w:rPr>
        <w:t xml:space="preserve">taking </w:t>
      </w:r>
      <w:r w:rsidR="00964B1B">
        <w:rPr>
          <w:rFonts w:ascii="Arial" w:hAnsi="Arial" w:cs="Arial"/>
        </w:rPr>
        <w:t xml:space="preserve">regard to </w:t>
      </w:r>
      <w:r w:rsidR="00915215">
        <w:rPr>
          <w:rFonts w:ascii="Arial" w:hAnsi="Arial" w:cs="Arial"/>
        </w:rPr>
        <w:t xml:space="preserve">relevant </w:t>
      </w:r>
      <w:r w:rsidR="004B4D81">
        <w:rPr>
          <w:rFonts w:ascii="Arial" w:hAnsi="Arial" w:cs="Arial"/>
        </w:rPr>
        <w:t>internal</w:t>
      </w:r>
      <w:r w:rsidR="00915215">
        <w:rPr>
          <w:rFonts w:ascii="Arial" w:hAnsi="Arial" w:cs="Arial"/>
        </w:rPr>
        <w:t xml:space="preserve"> and external</w:t>
      </w:r>
      <w:r w:rsidR="004B4D81">
        <w:rPr>
          <w:rFonts w:ascii="Arial" w:hAnsi="Arial" w:cs="Arial"/>
        </w:rPr>
        <w:t xml:space="preserve"> policies, </w:t>
      </w:r>
      <w:r w:rsidR="00B04DDA">
        <w:rPr>
          <w:rFonts w:ascii="Arial" w:hAnsi="Arial" w:cs="Arial"/>
        </w:rPr>
        <w:t>strategies</w:t>
      </w:r>
      <w:r w:rsidR="004B4D81">
        <w:rPr>
          <w:rFonts w:ascii="Arial" w:hAnsi="Arial" w:cs="Arial"/>
        </w:rPr>
        <w:t xml:space="preserve"> and regulatory </w:t>
      </w:r>
      <w:r w:rsidR="00915215">
        <w:rPr>
          <w:rFonts w:ascii="Arial" w:hAnsi="Arial" w:cs="Arial"/>
        </w:rPr>
        <w:t>legislation</w:t>
      </w:r>
      <w:r w:rsidR="00B04DDA">
        <w:rPr>
          <w:rFonts w:ascii="Arial" w:hAnsi="Arial" w:cs="Arial"/>
        </w:rPr>
        <w:t>.</w:t>
      </w:r>
    </w:p>
    <w:p w14:paraId="5B250B3A" w14:textId="77777777" w:rsidR="00964B1B" w:rsidRPr="00520233" w:rsidRDefault="00964B1B" w:rsidP="00585001">
      <w:pPr>
        <w:rPr>
          <w:rFonts w:ascii="Arial" w:hAnsi="Arial" w:cs="Arial"/>
          <w:b/>
        </w:rPr>
      </w:pPr>
    </w:p>
    <w:p w14:paraId="372C8A82" w14:textId="77777777" w:rsidR="00964B1B" w:rsidRPr="00BE60CE" w:rsidRDefault="00B72DD0" w:rsidP="00585001">
      <w:pPr>
        <w:numPr>
          <w:ilvl w:val="0"/>
          <w:numId w:val="14"/>
        </w:numPr>
        <w:tabs>
          <w:tab w:val="clear" w:pos="-1080"/>
          <w:tab w:val="num" w:pos="-540"/>
        </w:tabs>
        <w:ind w:left="0" w:right="-874"/>
        <w:rPr>
          <w:rFonts w:ascii="Arial" w:hAnsi="Arial" w:cs="Arial"/>
        </w:rPr>
      </w:pPr>
      <w:r w:rsidRPr="00964B1B">
        <w:rPr>
          <w:rFonts w:ascii="Arial" w:hAnsi="Arial" w:cs="Arial"/>
          <w:b/>
        </w:rPr>
        <w:t xml:space="preserve">Under the Localism Act </w:t>
      </w:r>
      <w:r w:rsidR="002053C5">
        <w:rPr>
          <w:rFonts w:ascii="Arial" w:hAnsi="Arial" w:cs="Arial"/>
          <w:b/>
        </w:rPr>
        <w:t>(</w:t>
      </w:r>
      <w:r w:rsidRPr="00964B1B">
        <w:rPr>
          <w:rFonts w:ascii="Arial" w:hAnsi="Arial" w:cs="Arial"/>
          <w:b/>
        </w:rPr>
        <w:t>2011</w:t>
      </w:r>
      <w:r w:rsidR="002053C5">
        <w:rPr>
          <w:rFonts w:ascii="Arial" w:hAnsi="Arial" w:cs="Arial"/>
          <w:b/>
        </w:rPr>
        <w:t>)</w:t>
      </w:r>
      <w:r w:rsidRPr="00964B1B">
        <w:rPr>
          <w:rFonts w:ascii="Arial" w:hAnsi="Arial" w:cs="Arial"/>
          <w:b/>
        </w:rPr>
        <w:t xml:space="preserve">, registered providers of social housing in Wandsworth must have regard to this strategy when formulating their policies in relation to the types of tenancies they will grant in various circumstances and </w:t>
      </w:r>
      <w:r w:rsidR="00BE60CE">
        <w:rPr>
          <w:rFonts w:ascii="Arial" w:hAnsi="Arial" w:cs="Arial"/>
          <w:b/>
        </w:rPr>
        <w:t>the circumstances in which they decide to end a tenancy by taking eviction proceedings against a tenant</w:t>
      </w:r>
      <w:r w:rsidRPr="00BE60CE">
        <w:rPr>
          <w:rFonts w:ascii="Arial" w:hAnsi="Arial" w:cs="Arial"/>
          <w:b/>
        </w:rPr>
        <w:t>.</w:t>
      </w:r>
      <w:r w:rsidRPr="00BE60CE">
        <w:rPr>
          <w:rFonts w:ascii="Arial" w:hAnsi="Arial" w:cs="Arial"/>
        </w:rPr>
        <w:t xml:space="preserve"> In addition, the Council expects that they will have regard to this strategy when formulating their rent polic</w:t>
      </w:r>
      <w:r w:rsidR="00782950" w:rsidRPr="00BE60CE">
        <w:rPr>
          <w:rFonts w:ascii="Arial" w:hAnsi="Arial" w:cs="Arial"/>
        </w:rPr>
        <w:t>ies and their policies on all</w:t>
      </w:r>
      <w:r w:rsidRPr="00BE60CE">
        <w:rPr>
          <w:rFonts w:ascii="Arial" w:hAnsi="Arial" w:cs="Arial"/>
        </w:rPr>
        <w:t xml:space="preserve"> the matters set out above. </w:t>
      </w:r>
    </w:p>
    <w:p w14:paraId="42CA8048" w14:textId="77777777" w:rsidR="00964B1B" w:rsidRDefault="00964B1B" w:rsidP="00585001">
      <w:pPr>
        <w:pStyle w:val="ListParagraph"/>
        <w:ind w:left="0"/>
        <w:rPr>
          <w:rFonts w:ascii="Arial" w:hAnsi="Arial" w:cs="Arial"/>
        </w:rPr>
      </w:pPr>
    </w:p>
    <w:p w14:paraId="6DA828F0" w14:textId="77777777" w:rsidR="00E3376B" w:rsidRDefault="00B72DD0" w:rsidP="00585001">
      <w:pPr>
        <w:numPr>
          <w:ilvl w:val="0"/>
          <w:numId w:val="14"/>
        </w:numPr>
        <w:tabs>
          <w:tab w:val="clear" w:pos="-1080"/>
          <w:tab w:val="num" w:pos="-540"/>
        </w:tabs>
        <w:ind w:left="0" w:right="-874"/>
        <w:rPr>
          <w:rFonts w:ascii="Arial" w:hAnsi="Arial" w:cs="Arial"/>
        </w:rPr>
      </w:pPr>
      <w:r w:rsidRPr="00964B1B">
        <w:rPr>
          <w:rFonts w:ascii="Arial" w:hAnsi="Arial" w:cs="Arial"/>
        </w:rPr>
        <w:t>In developing their policies, registered providers</w:t>
      </w:r>
      <w:r w:rsidR="00A12833">
        <w:rPr>
          <w:rFonts w:ascii="Arial" w:hAnsi="Arial" w:cs="Arial"/>
        </w:rPr>
        <w:t xml:space="preserve"> of social housing</w:t>
      </w:r>
      <w:r w:rsidR="004C5228">
        <w:rPr>
          <w:rFonts w:ascii="Arial" w:hAnsi="Arial" w:cs="Arial"/>
        </w:rPr>
        <w:t xml:space="preserve"> in Wandsworth</w:t>
      </w:r>
      <w:r w:rsidRPr="00964B1B">
        <w:rPr>
          <w:rFonts w:ascii="Arial" w:hAnsi="Arial" w:cs="Arial"/>
        </w:rPr>
        <w:t xml:space="preserve"> should engage with and consult the Council to ensure that their policies reflect and align with the expectations set out in this strategy and ensure that the tenancies they issue are compatible with the purpose of the accommodation, the needs of individual households, the sustainability of the community and the efficient use of their housing stock to assist in meeting the housing needs identified in Wandsworth. </w:t>
      </w:r>
    </w:p>
    <w:p w14:paraId="673776C5" w14:textId="77777777" w:rsidR="00E3376B" w:rsidRDefault="00E3376B" w:rsidP="00585001">
      <w:pPr>
        <w:pStyle w:val="ListParagraph"/>
        <w:ind w:left="0"/>
        <w:rPr>
          <w:rFonts w:ascii="Arial" w:hAnsi="Arial" w:cs="Arial"/>
        </w:rPr>
      </w:pPr>
    </w:p>
    <w:p w14:paraId="55D45FDF" w14:textId="77777777" w:rsidR="00B72DD0" w:rsidRPr="00E3376B" w:rsidRDefault="00B72DD0" w:rsidP="00585001">
      <w:pPr>
        <w:numPr>
          <w:ilvl w:val="0"/>
          <w:numId w:val="14"/>
        </w:numPr>
        <w:tabs>
          <w:tab w:val="clear" w:pos="-1080"/>
          <w:tab w:val="num" w:pos="-540"/>
        </w:tabs>
        <w:ind w:left="0"/>
        <w:rPr>
          <w:rFonts w:ascii="Arial" w:hAnsi="Arial" w:cs="Arial"/>
        </w:rPr>
      </w:pPr>
      <w:r w:rsidRPr="00E3376B">
        <w:rPr>
          <w:rFonts w:ascii="Arial" w:hAnsi="Arial" w:cs="Arial"/>
        </w:rPr>
        <w:lastRenderedPageBreak/>
        <w:t xml:space="preserve">As required by the Localism Act </w:t>
      </w:r>
      <w:r w:rsidR="005D58CF">
        <w:rPr>
          <w:rFonts w:ascii="Arial" w:hAnsi="Arial" w:cs="Arial"/>
        </w:rPr>
        <w:t>(</w:t>
      </w:r>
      <w:r w:rsidRPr="00E3376B">
        <w:rPr>
          <w:rFonts w:ascii="Arial" w:hAnsi="Arial" w:cs="Arial"/>
        </w:rPr>
        <w:t>2011</w:t>
      </w:r>
      <w:r w:rsidR="005D58CF">
        <w:rPr>
          <w:rFonts w:ascii="Arial" w:hAnsi="Arial" w:cs="Arial"/>
        </w:rPr>
        <w:t>)</w:t>
      </w:r>
      <w:r w:rsidRPr="00E3376B">
        <w:rPr>
          <w:rFonts w:ascii="Arial" w:hAnsi="Arial" w:cs="Arial"/>
        </w:rPr>
        <w:t xml:space="preserve"> the Council will, having regard to the London Housing Strategy, keep this strategy under review and may modify or replace it from time to time. </w:t>
      </w:r>
      <w:r w:rsidR="008944C1" w:rsidRPr="00E3376B">
        <w:rPr>
          <w:rFonts w:ascii="Arial" w:hAnsi="Arial" w:cs="Arial"/>
        </w:rPr>
        <w:t xml:space="preserve"> </w:t>
      </w:r>
      <w:r w:rsidRPr="00E3376B">
        <w:rPr>
          <w:rFonts w:ascii="Arial" w:hAnsi="Arial" w:cs="Arial"/>
        </w:rPr>
        <w:t>In particular, the Council will</w:t>
      </w:r>
      <w:r w:rsidR="008944C1" w:rsidRPr="00E3376B">
        <w:rPr>
          <w:rFonts w:ascii="Arial" w:hAnsi="Arial" w:cs="Arial"/>
        </w:rPr>
        <w:t>,</w:t>
      </w:r>
      <w:r w:rsidRPr="00E3376B">
        <w:rPr>
          <w:rFonts w:ascii="Arial" w:hAnsi="Arial" w:cs="Arial"/>
        </w:rPr>
        <w:t xml:space="preserve"> as a minimum</w:t>
      </w:r>
      <w:r w:rsidR="008944C1" w:rsidRPr="00E3376B">
        <w:rPr>
          <w:rFonts w:ascii="Arial" w:hAnsi="Arial" w:cs="Arial"/>
        </w:rPr>
        <w:t>,</w:t>
      </w:r>
      <w:r w:rsidRPr="00E3376B">
        <w:rPr>
          <w:rFonts w:ascii="Arial" w:hAnsi="Arial" w:cs="Arial"/>
        </w:rPr>
        <w:t xml:space="preserve"> annually review the Affordable Rent levels guidance</w:t>
      </w:r>
      <w:r w:rsidR="00AD4A44">
        <w:rPr>
          <w:rFonts w:ascii="Arial" w:hAnsi="Arial" w:cs="Arial"/>
        </w:rPr>
        <w:t>,</w:t>
      </w:r>
      <w:r w:rsidRPr="00E3376B">
        <w:rPr>
          <w:rFonts w:ascii="Arial" w:hAnsi="Arial" w:cs="Arial"/>
        </w:rPr>
        <w:t xml:space="preserve"> published annually in the Affordable Housing Update report presented to </w:t>
      </w:r>
      <w:r w:rsidR="008944C1" w:rsidRPr="00E3376B">
        <w:rPr>
          <w:rFonts w:ascii="Arial" w:hAnsi="Arial" w:cs="Arial"/>
        </w:rPr>
        <w:t>the Council in June committee.</w:t>
      </w:r>
      <w:r w:rsidRPr="00E3376B">
        <w:rPr>
          <w:rFonts w:ascii="Arial" w:hAnsi="Arial" w:cs="Arial"/>
        </w:rPr>
        <w:t xml:space="preserve"> </w:t>
      </w:r>
      <w:r w:rsidR="008944C1" w:rsidRPr="00E3376B">
        <w:rPr>
          <w:rFonts w:ascii="Arial" w:hAnsi="Arial" w:cs="Arial"/>
        </w:rPr>
        <w:t xml:space="preserve"> </w:t>
      </w:r>
      <w:r w:rsidRPr="00E3376B">
        <w:rPr>
          <w:rFonts w:ascii="Arial" w:hAnsi="Arial" w:cs="Arial"/>
        </w:rPr>
        <w:t xml:space="preserve">As also required by the Localism Act </w:t>
      </w:r>
      <w:r w:rsidR="00881A49">
        <w:rPr>
          <w:rFonts w:ascii="Arial" w:hAnsi="Arial" w:cs="Arial"/>
        </w:rPr>
        <w:t>(</w:t>
      </w:r>
      <w:r w:rsidRPr="00E3376B">
        <w:rPr>
          <w:rFonts w:ascii="Arial" w:hAnsi="Arial" w:cs="Arial"/>
        </w:rPr>
        <w:t>2011</w:t>
      </w:r>
      <w:r w:rsidR="00881A49">
        <w:rPr>
          <w:rFonts w:ascii="Arial" w:hAnsi="Arial" w:cs="Arial"/>
        </w:rPr>
        <w:t>)</w:t>
      </w:r>
      <w:r w:rsidRPr="00E3376B">
        <w:rPr>
          <w:rFonts w:ascii="Arial" w:hAnsi="Arial" w:cs="Arial"/>
        </w:rPr>
        <w:t>, before making any modification to the strategy reflecting a major change of policy, the Council will:</w:t>
      </w:r>
      <w:r w:rsidRPr="00E3376B">
        <w:rPr>
          <w:rFonts w:ascii="Arial" w:hAnsi="Arial" w:cs="Arial"/>
        </w:rPr>
        <w:br/>
      </w:r>
    </w:p>
    <w:p w14:paraId="4F6ED4F6" w14:textId="77777777" w:rsidR="00617BCE" w:rsidRDefault="006C54C7" w:rsidP="00585001">
      <w:pPr>
        <w:numPr>
          <w:ilvl w:val="0"/>
          <w:numId w:val="10"/>
        </w:numPr>
        <w:ind w:left="641" w:hanging="357"/>
        <w:rPr>
          <w:rFonts w:ascii="Arial" w:hAnsi="Arial" w:cs="Arial"/>
        </w:rPr>
      </w:pPr>
      <w:r>
        <w:rPr>
          <w:rFonts w:ascii="Arial" w:hAnsi="Arial" w:cs="Arial"/>
        </w:rPr>
        <w:t xml:space="preserve">Have </w:t>
      </w:r>
      <w:r w:rsidR="00F85726">
        <w:rPr>
          <w:rFonts w:ascii="Arial" w:hAnsi="Arial" w:cs="Arial"/>
        </w:rPr>
        <w:t>regard to the Council</w:t>
      </w:r>
      <w:r w:rsidR="00F546BF">
        <w:rPr>
          <w:rFonts w:ascii="Arial" w:hAnsi="Arial" w:cs="Arial"/>
        </w:rPr>
        <w:t>’</w:t>
      </w:r>
      <w:r w:rsidR="00F85726">
        <w:rPr>
          <w:rFonts w:ascii="Arial" w:hAnsi="Arial" w:cs="Arial"/>
        </w:rPr>
        <w:t xml:space="preserve">s Tenancy Policy, Housing Allocation Scheme, Housing, </w:t>
      </w:r>
      <w:r w:rsidR="00614390">
        <w:rPr>
          <w:rFonts w:ascii="Arial" w:hAnsi="Arial" w:cs="Arial"/>
        </w:rPr>
        <w:t>H</w:t>
      </w:r>
      <w:r w:rsidR="00F85726">
        <w:rPr>
          <w:rFonts w:ascii="Arial" w:hAnsi="Arial" w:cs="Arial"/>
        </w:rPr>
        <w:t xml:space="preserve">omelessness and Rough Sleeping Strategy, </w:t>
      </w:r>
      <w:r w:rsidR="008A38F0">
        <w:rPr>
          <w:rFonts w:ascii="Arial" w:hAnsi="Arial" w:cs="Arial"/>
        </w:rPr>
        <w:t>and the London Housing Strategy.</w:t>
      </w:r>
    </w:p>
    <w:p w14:paraId="69ECD13C" w14:textId="77777777" w:rsidR="00B72DD0" w:rsidRPr="00934842" w:rsidRDefault="00B72DD0" w:rsidP="00585001">
      <w:pPr>
        <w:numPr>
          <w:ilvl w:val="0"/>
          <w:numId w:val="10"/>
        </w:numPr>
        <w:ind w:left="641" w:hanging="357"/>
        <w:rPr>
          <w:rFonts w:ascii="Arial" w:hAnsi="Arial" w:cs="Arial"/>
        </w:rPr>
      </w:pPr>
      <w:r w:rsidRPr="00934842">
        <w:rPr>
          <w:rFonts w:ascii="Arial" w:hAnsi="Arial" w:cs="Arial"/>
        </w:rPr>
        <w:t>Send a copy of the draft strategy or proposed modification to every private registered provider of social housing for its district, and give the registered provider a reasonable opportunity to comment on the proposals; and</w:t>
      </w:r>
    </w:p>
    <w:p w14:paraId="3D23CBE8" w14:textId="77777777" w:rsidR="00BC5DFE" w:rsidRDefault="00B72DD0" w:rsidP="00585001">
      <w:pPr>
        <w:numPr>
          <w:ilvl w:val="0"/>
          <w:numId w:val="10"/>
        </w:numPr>
        <w:ind w:left="641" w:hanging="357"/>
        <w:rPr>
          <w:rFonts w:ascii="Arial" w:hAnsi="Arial" w:cs="Arial"/>
        </w:rPr>
      </w:pPr>
      <w:r w:rsidRPr="00934842">
        <w:rPr>
          <w:rFonts w:ascii="Arial" w:hAnsi="Arial" w:cs="Arial"/>
        </w:rPr>
        <w:t>Consult the Mayor of London and other such persons as the Secretary of State may by regulations prescribe.</w:t>
      </w:r>
      <w:r w:rsidR="009F724A">
        <w:rPr>
          <w:rFonts w:ascii="Arial" w:hAnsi="Arial" w:cs="Arial"/>
        </w:rPr>
        <w:t xml:space="preserve"> </w:t>
      </w:r>
    </w:p>
    <w:p w14:paraId="21524658" w14:textId="77777777" w:rsidR="00BC5DFE" w:rsidRDefault="00BC5DFE" w:rsidP="00585001">
      <w:pPr>
        <w:pStyle w:val="ListParagraph"/>
        <w:ind w:left="0"/>
        <w:rPr>
          <w:rFonts w:ascii="Arial" w:hAnsi="Arial" w:cs="Arial"/>
        </w:rPr>
      </w:pPr>
    </w:p>
    <w:p w14:paraId="6C61673F" w14:textId="77777777" w:rsidR="00E04D80" w:rsidRDefault="00E04D80" w:rsidP="00585001">
      <w:pPr>
        <w:pStyle w:val="ListParagraph"/>
        <w:numPr>
          <w:ilvl w:val="0"/>
          <w:numId w:val="17"/>
        </w:numPr>
        <w:ind w:left="0"/>
        <w:rPr>
          <w:rFonts w:ascii="Arial" w:hAnsi="Arial" w:cs="Arial"/>
        </w:rPr>
      </w:pPr>
      <w:r w:rsidRPr="00E04D80">
        <w:rPr>
          <w:rFonts w:ascii="Arial" w:hAnsi="Arial" w:cs="Arial"/>
        </w:rPr>
        <w:t xml:space="preserve">To assist the Council in keeping the strategy under review, comments on the strategy are welcome at any time.  The Council also expects registered providers to assist in the ongoing monitoring and review of the strategy by providing feedback on the impact of the strategy. </w:t>
      </w:r>
    </w:p>
    <w:p w14:paraId="6FC2CE73" w14:textId="77777777" w:rsidR="00E04D80" w:rsidRPr="00E04D80" w:rsidRDefault="00E04D80" w:rsidP="00585001">
      <w:pPr>
        <w:pStyle w:val="ListParagraph"/>
        <w:ind w:left="0"/>
        <w:rPr>
          <w:rFonts w:ascii="Arial" w:hAnsi="Arial" w:cs="Arial"/>
        </w:rPr>
      </w:pPr>
    </w:p>
    <w:p w14:paraId="1F7707A4" w14:textId="77777777" w:rsidR="00B72DD0" w:rsidRPr="00EE2D00" w:rsidRDefault="00B72DD0" w:rsidP="00585001">
      <w:pPr>
        <w:pStyle w:val="ListParagraph"/>
        <w:numPr>
          <w:ilvl w:val="0"/>
          <w:numId w:val="17"/>
        </w:numPr>
        <w:ind w:left="0"/>
        <w:rPr>
          <w:rFonts w:ascii="Arial" w:hAnsi="Arial" w:cs="Arial"/>
        </w:rPr>
      </w:pPr>
      <w:r w:rsidRPr="00934842">
        <w:rPr>
          <w:rFonts w:ascii="Arial" w:hAnsi="Arial" w:cs="Arial"/>
          <w:b/>
        </w:rPr>
        <w:t>The Council expects all registered providers of social housing in Wandsworth to publish their policies on their website and make copies available free of charge to anyone who might request a copy.</w:t>
      </w:r>
    </w:p>
    <w:p w14:paraId="346CEDC7" w14:textId="77777777" w:rsidR="00EE2D00" w:rsidRDefault="00EE2D00" w:rsidP="00EE2D00">
      <w:pPr>
        <w:pStyle w:val="ListParagraph"/>
        <w:ind w:left="0"/>
        <w:rPr>
          <w:rFonts w:ascii="Arial" w:hAnsi="Arial" w:cs="Arial"/>
        </w:rPr>
      </w:pPr>
    </w:p>
    <w:p w14:paraId="51EAC4E8" w14:textId="77777777" w:rsidR="003A363E" w:rsidRPr="003A363E" w:rsidRDefault="003A363E" w:rsidP="00EE2D00">
      <w:pPr>
        <w:pStyle w:val="ListParagraph"/>
        <w:ind w:left="0"/>
        <w:rPr>
          <w:rFonts w:ascii="Arial" w:hAnsi="Arial" w:cs="Arial"/>
          <w:b/>
          <w:bCs/>
          <w:u w:val="single"/>
        </w:rPr>
      </w:pPr>
      <w:r w:rsidRPr="003A363E">
        <w:rPr>
          <w:rFonts w:ascii="Arial" w:hAnsi="Arial" w:cs="Arial"/>
          <w:b/>
          <w:bCs/>
          <w:u w:val="single"/>
        </w:rPr>
        <w:t>Type of tenancies</w:t>
      </w:r>
    </w:p>
    <w:p w14:paraId="3690DB6A" w14:textId="77777777" w:rsidR="003A363E" w:rsidRPr="00EE2D00" w:rsidRDefault="003A363E" w:rsidP="00EE2D00">
      <w:pPr>
        <w:pStyle w:val="ListParagraph"/>
        <w:ind w:left="0"/>
        <w:rPr>
          <w:rFonts w:ascii="Arial" w:hAnsi="Arial" w:cs="Arial"/>
        </w:rPr>
      </w:pPr>
    </w:p>
    <w:p w14:paraId="6E3E30E5" w14:textId="77777777" w:rsidR="00EE2D00" w:rsidRPr="00F17D93" w:rsidRDefault="00EE2D00" w:rsidP="00053246">
      <w:pPr>
        <w:numPr>
          <w:ilvl w:val="0"/>
          <w:numId w:val="17"/>
        </w:numPr>
        <w:ind w:left="0"/>
        <w:rPr>
          <w:rFonts w:ascii="Arial" w:hAnsi="Arial" w:cs="Arial"/>
        </w:rPr>
      </w:pPr>
      <w:r>
        <w:rPr>
          <w:rFonts w:ascii="Arial" w:hAnsi="Arial" w:cs="Arial"/>
        </w:rPr>
        <w:t xml:space="preserve">The preferred </w:t>
      </w:r>
      <w:r w:rsidR="00912A54">
        <w:rPr>
          <w:rFonts w:ascii="Arial" w:hAnsi="Arial" w:cs="Arial"/>
        </w:rPr>
        <w:t xml:space="preserve">secure social housing </w:t>
      </w:r>
      <w:r>
        <w:rPr>
          <w:rFonts w:ascii="Arial" w:hAnsi="Arial" w:cs="Arial"/>
        </w:rPr>
        <w:t xml:space="preserve">tenancy </w:t>
      </w:r>
      <w:r w:rsidR="00D31918">
        <w:rPr>
          <w:rFonts w:ascii="Arial" w:hAnsi="Arial" w:cs="Arial"/>
        </w:rPr>
        <w:t>supported</w:t>
      </w:r>
      <w:r>
        <w:rPr>
          <w:rFonts w:ascii="Arial" w:hAnsi="Arial" w:cs="Arial"/>
        </w:rPr>
        <w:t xml:space="preserve"> by the Council are</w:t>
      </w:r>
      <w:r w:rsidRPr="00A17AAA">
        <w:rPr>
          <w:rFonts w:ascii="Arial" w:hAnsi="Arial" w:cs="Arial"/>
        </w:rPr>
        <w:t xml:space="preserve"> secure (lifetime) periodic </w:t>
      </w:r>
      <w:r w:rsidR="006A3E68">
        <w:rPr>
          <w:rFonts w:ascii="Arial" w:hAnsi="Arial" w:cs="Arial"/>
        </w:rPr>
        <w:t xml:space="preserve">/ assured tenancies </w:t>
      </w:r>
      <w:r w:rsidRPr="00A17AAA">
        <w:rPr>
          <w:rFonts w:ascii="Arial" w:hAnsi="Arial" w:cs="Arial"/>
        </w:rPr>
        <w:t xml:space="preserve">that offer a tenancy for life with no requirement </w:t>
      </w:r>
      <w:r>
        <w:rPr>
          <w:rFonts w:ascii="Arial" w:hAnsi="Arial" w:cs="Arial"/>
        </w:rPr>
        <w:t xml:space="preserve">for the tenant to undergo </w:t>
      </w:r>
      <w:r w:rsidRPr="00A17AAA">
        <w:rPr>
          <w:rFonts w:ascii="Arial" w:hAnsi="Arial" w:cs="Arial"/>
        </w:rPr>
        <w:t xml:space="preserve">a review on whether a tenancy should be renewed.  In exceptional circumstances (as outlined below) the Council </w:t>
      </w:r>
      <w:r w:rsidR="001B5513">
        <w:rPr>
          <w:rFonts w:ascii="Arial" w:hAnsi="Arial" w:cs="Arial"/>
        </w:rPr>
        <w:t>would support the</w:t>
      </w:r>
      <w:r w:rsidRPr="00A17AAA">
        <w:rPr>
          <w:rFonts w:ascii="Arial" w:hAnsi="Arial" w:cs="Arial"/>
        </w:rPr>
        <w:t xml:space="preserve"> use </w:t>
      </w:r>
      <w:r w:rsidR="001B5513">
        <w:rPr>
          <w:rFonts w:ascii="Arial" w:hAnsi="Arial" w:cs="Arial"/>
        </w:rPr>
        <w:t>of</w:t>
      </w:r>
      <w:r w:rsidRPr="00A17AAA">
        <w:rPr>
          <w:rFonts w:ascii="Arial" w:hAnsi="Arial" w:cs="Arial"/>
        </w:rPr>
        <w:t xml:space="preserve"> </w:t>
      </w:r>
      <w:r>
        <w:rPr>
          <w:rFonts w:ascii="Arial" w:hAnsi="Arial" w:cs="Arial"/>
        </w:rPr>
        <w:t xml:space="preserve">flexible </w:t>
      </w:r>
      <w:r w:rsidRPr="00A17AAA">
        <w:rPr>
          <w:rFonts w:ascii="Arial" w:hAnsi="Arial" w:cs="Arial"/>
        </w:rPr>
        <w:t>fixed term</w:t>
      </w:r>
      <w:r w:rsidR="001B5513">
        <w:rPr>
          <w:rFonts w:ascii="Arial" w:hAnsi="Arial" w:cs="Arial"/>
        </w:rPr>
        <w:t xml:space="preserve"> </w:t>
      </w:r>
      <w:r w:rsidR="00B4260E">
        <w:rPr>
          <w:rFonts w:ascii="Arial" w:hAnsi="Arial" w:cs="Arial"/>
        </w:rPr>
        <w:t>tenancies</w:t>
      </w:r>
      <w:r w:rsidRPr="00A17AAA">
        <w:rPr>
          <w:rFonts w:ascii="Arial" w:hAnsi="Arial" w:cs="Arial"/>
        </w:rPr>
        <w:t>, which is a</w:t>
      </w:r>
      <w:r w:rsidR="00912A54">
        <w:rPr>
          <w:rFonts w:ascii="Arial" w:hAnsi="Arial" w:cs="Arial"/>
        </w:rPr>
        <w:t>nother</w:t>
      </w:r>
      <w:r w:rsidRPr="00A17AAA">
        <w:rPr>
          <w:rFonts w:ascii="Arial" w:hAnsi="Arial" w:cs="Arial"/>
        </w:rPr>
        <w:t xml:space="preserve"> secure </w:t>
      </w:r>
      <w:r>
        <w:rPr>
          <w:rFonts w:ascii="Arial" w:hAnsi="Arial" w:cs="Arial"/>
        </w:rPr>
        <w:t xml:space="preserve">social </w:t>
      </w:r>
      <w:r w:rsidR="00B4260E">
        <w:rPr>
          <w:rFonts w:ascii="Arial" w:hAnsi="Arial" w:cs="Arial"/>
        </w:rPr>
        <w:t xml:space="preserve">housing </w:t>
      </w:r>
      <w:r w:rsidRPr="00A17AAA">
        <w:rPr>
          <w:rFonts w:ascii="Arial" w:hAnsi="Arial" w:cs="Arial"/>
        </w:rPr>
        <w:t xml:space="preserve">tenancy </w:t>
      </w:r>
      <w:r>
        <w:rPr>
          <w:rFonts w:ascii="Arial" w:hAnsi="Arial" w:cs="Arial"/>
        </w:rPr>
        <w:t>that is</w:t>
      </w:r>
      <w:r w:rsidRPr="00A17AAA">
        <w:rPr>
          <w:rFonts w:ascii="Arial" w:hAnsi="Arial" w:cs="Arial"/>
        </w:rPr>
        <w:t xml:space="preserve"> issued on a fixed period </w:t>
      </w:r>
      <w:r>
        <w:rPr>
          <w:rFonts w:ascii="Arial" w:hAnsi="Arial" w:cs="Arial"/>
        </w:rPr>
        <w:t xml:space="preserve">and requires a review towards the tenancy end date so a decision can be made on whether another tenancy is issued after the tenancy expires.  See paragraphs </w:t>
      </w:r>
      <w:r w:rsidR="00FD093C">
        <w:rPr>
          <w:rFonts w:ascii="Arial" w:hAnsi="Arial" w:cs="Arial"/>
        </w:rPr>
        <w:t>9</w:t>
      </w:r>
      <w:r>
        <w:rPr>
          <w:rFonts w:ascii="Arial" w:hAnsi="Arial" w:cs="Arial"/>
        </w:rPr>
        <w:t xml:space="preserve"> to 1</w:t>
      </w:r>
      <w:r w:rsidR="00B72702">
        <w:rPr>
          <w:rFonts w:ascii="Arial" w:hAnsi="Arial" w:cs="Arial"/>
        </w:rPr>
        <w:t>5</w:t>
      </w:r>
      <w:r>
        <w:rPr>
          <w:rFonts w:ascii="Arial" w:hAnsi="Arial" w:cs="Arial"/>
        </w:rPr>
        <w:t xml:space="preserve"> below that outline both tenancy types.</w:t>
      </w:r>
    </w:p>
    <w:p w14:paraId="62E6B4A7" w14:textId="77777777" w:rsidR="00EE2D00" w:rsidRPr="0020768C" w:rsidRDefault="00EE2D00" w:rsidP="00053246">
      <w:pPr>
        <w:rPr>
          <w:rFonts w:ascii="Arial" w:hAnsi="Arial" w:cs="Arial"/>
          <w:b/>
          <w:bCs/>
          <w:u w:val="single"/>
        </w:rPr>
      </w:pPr>
    </w:p>
    <w:p w14:paraId="47AD676C" w14:textId="77777777" w:rsidR="00EE2D00" w:rsidRDefault="00EE2D00" w:rsidP="00053246">
      <w:pPr>
        <w:rPr>
          <w:rFonts w:ascii="Arial" w:hAnsi="Arial" w:cs="Arial"/>
          <w:bCs/>
          <w:u w:val="single"/>
        </w:rPr>
      </w:pPr>
      <w:r w:rsidRPr="008E056A">
        <w:rPr>
          <w:rFonts w:ascii="Arial" w:hAnsi="Arial" w:cs="Arial"/>
          <w:bCs/>
          <w:u w:val="single"/>
        </w:rPr>
        <w:t>Secure periodic tenancies</w:t>
      </w:r>
    </w:p>
    <w:p w14:paraId="626584A1" w14:textId="77777777" w:rsidR="00EE2D00" w:rsidRDefault="00EE2D00" w:rsidP="00053246">
      <w:pPr>
        <w:pStyle w:val="ListParagraph"/>
        <w:ind w:left="0"/>
        <w:rPr>
          <w:rFonts w:ascii="Arial" w:hAnsi="Arial" w:cs="Arial"/>
        </w:rPr>
      </w:pPr>
    </w:p>
    <w:p w14:paraId="6B9E11FE" w14:textId="77777777" w:rsidR="00EE2D00" w:rsidRDefault="00EE2D00" w:rsidP="00053246">
      <w:pPr>
        <w:numPr>
          <w:ilvl w:val="0"/>
          <w:numId w:val="17"/>
        </w:numPr>
        <w:ind w:left="0"/>
        <w:rPr>
          <w:rFonts w:ascii="Arial" w:hAnsi="Arial" w:cs="Arial"/>
        </w:rPr>
      </w:pPr>
      <w:r>
        <w:rPr>
          <w:rFonts w:ascii="Arial" w:hAnsi="Arial" w:cs="Arial"/>
        </w:rPr>
        <w:t xml:space="preserve">Wandsworth Council believes that suitable and secure accommodation is essential to the overall health, wellbeing and stability of its tenants.  For this reason, the Council </w:t>
      </w:r>
      <w:r w:rsidR="00FD093C">
        <w:rPr>
          <w:rFonts w:ascii="Arial" w:hAnsi="Arial" w:cs="Arial"/>
        </w:rPr>
        <w:t xml:space="preserve">supports the use of secure periodic / assured tenancies </w:t>
      </w:r>
      <w:r>
        <w:rPr>
          <w:rFonts w:ascii="Arial" w:hAnsi="Arial" w:cs="Arial"/>
        </w:rPr>
        <w:t>(preceded by a 12-month introductory tenancy where legislation allows) in most instances, which includes tenants of general needs and sheltered housing</w:t>
      </w:r>
      <w:r w:rsidR="002412CB">
        <w:rPr>
          <w:rFonts w:ascii="Arial" w:hAnsi="Arial" w:cs="Arial"/>
        </w:rPr>
        <w:t>, and encourages registered providers of social housing to also use secure periodic / assured tenancies as their preferred tenancy type</w:t>
      </w:r>
      <w:r>
        <w:rPr>
          <w:rFonts w:ascii="Arial" w:hAnsi="Arial" w:cs="Arial"/>
        </w:rPr>
        <w:t>.</w:t>
      </w:r>
    </w:p>
    <w:p w14:paraId="2A2520A1" w14:textId="77777777" w:rsidR="00EE2D00" w:rsidRDefault="00EE2D00" w:rsidP="00053246">
      <w:pPr>
        <w:rPr>
          <w:rFonts w:ascii="Arial" w:hAnsi="Arial" w:cs="Arial"/>
        </w:rPr>
      </w:pPr>
    </w:p>
    <w:p w14:paraId="6D6194EE" w14:textId="77777777" w:rsidR="00EE2D00" w:rsidRDefault="00EE2D00" w:rsidP="00053246">
      <w:pPr>
        <w:rPr>
          <w:rFonts w:ascii="Arial" w:hAnsi="Arial" w:cs="Arial"/>
        </w:rPr>
      </w:pPr>
    </w:p>
    <w:p w14:paraId="539B6380" w14:textId="77777777" w:rsidR="00EE2D00" w:rsidRPr="00FA49CF" w:rsidRDefault="00EE2D00" w:rsidP="00053246">
      <w:pPr>
        <w:rPr>
          <w:rFonts w:ascii="Arial" w:hAnsi="Arial" w:cs="Arial"/>
          <w:u w:val="single"/>
        </w:rPr>
      </w:pPr>
      <w:r>
        <w:rPr>
          <w:rFonts w:ascii="Arial" w:hAnsi="Arial" w:cs="Arial"/>
          <w:u w:val="single"/>
        </w:rPr>
        <w:lastRenderedPageBreak/>
        <w:t>Flexible f</w:t>
      </w:r>
      <w:r w:rsidRPr="00FA49CF">
        <w:rPr>
          <w:rFonts w:ascii="Arial" w:hAnsi="Arial" w:cs="Arial"/>
          <w:u w:val="single"/>
        </w:rPr>
        <w:t>ixed term tenancies</w:t>
      </w:r>
    </w:p>
    <w:p w14:paraId="0B44F4DA" w14:textId="77777777" w:rsidR="00EE2D00" w:rsidRDefault="00EE2D00" w:rsidP="00053246">
      <w:pPr>
        <w:rPr>
          <w:rFonts w:ascii="Arial" w:hAnsi="Arial" w:cs="Arial"/>
        </w:rPr>
      </w:pPr>
    </w:p>
    <w:p w14:paraId="6F721061" w14:textId="77777777" w:rsidR="00EE2D00" w:rsidRDefault="00EE2D00" w:rsidP="00053246">
      <w:pPr>
        <w:numPr>
          <w:ilvl w:val="0"/>
          <w:numId w:val="17"/>
        </w:numPr>
        <w:ind w:left="0"/>
        <w:rPr>
          <w:rFonts w:ascii="Arial" w:hAnsi="Arial" w:cs="Arial"/>
        </w:rPr>
      </w:pPr>
      <w:r>
        <w:rPr>
          <w:rFonts w:ascii="Arial" w:hAnsi="Arial" w:cs="Arial"/>
        </w:rPr>
        <w:t xml:space="preserve">There are exceptional circumstances when the Council </w:t>
      </w:r>
      <w:r w:rsidR="000F0FA6">
        <w:rPr>
          <w:rFonts w:ascii="Arial" w:hAnsi="Arial" w:cs="Arial"/>
        </w:rPr>
        <w:t>would support the use of</w:t>
      </w:r>
      <w:r>
        <w:rPr>
          <w:rFonts w:ascii="Arial" w:hAnsi="Arial" w:cs="Arial"/>
        </w:rPr>
        <w:t xml:space="preserve"> a flexible fixed term tenancy rather than a secure periodic </w:t>
      </w:r>
      <w:r w:rsidR="000F0FA6">
        <w:rPr>
          <w:rFonts w:ascii="Arial" w:hAnsi="Arial" w:cs="Arial"/>
        </w:rPr>
        <w:t xml:space="preserve">/ assured </w:t>
      </w:r>
      <w:r>
        <w:rPr>
          <w:rFonts w:ascii="Arial" w:hAnsi="Arial" w:cs="Arial"/>
        </w:rPr>
        <w:t>tenancy, and this only applies to tenants in general needs housing</w:t>
      </w:r>
      <w:r w:rsidR="00E37C77">
        <w:rPr>
          <w:rFonts w:ascii="Arial" w:hAnsi="Arial" w:cs="Arial"/>
        </w:rPr>
        <w:t xml:space="preserve"> (see paragraphs </w:t>
      </w:r>
      <w:r w:rsidR="00937AE4">
        <w:rPr>
          <w:rFonts w:ascii="Arial" w:hAnsi="Arial" w:cs="Arial"/>
        </w:rPr>
        <w:t>2</w:t>
      </w:r>
      <w:r w:rsidR="00517400">
        <w:rPr>
          <w:rFonts w:ascii="Arial" w:hAnsi="Arial" w:cs="Arial"/>
        </w:rPr>
        <w:t>4</w:t>
      </w:r>
      <w:r w:rsidR="00E37C77">
        <w:rPr>
          <w:rFonts w:ascii="Arial" w:hAnsi="Arial" w:cs="Arial"/>
        </w:rPr>
        <w:t xml:space="preserve"> to </w:t>
      </w:r>
      <w:r w:rsidR="00937AE4">
        <w:rPr>
          <w:rFonts w:ascii="Arial" w:hAnsi="Arial" w:cs="Arial"/>
        </w:rPr>
        <w:t>2</w:t>
      </w:r>
      <w:r w:rsidR="00517400">
        <w:rPr>
          <w:rFonts w:ascii="Arial" w:hAnsi="Arial" w:cs="Arial"/>
        </w:rPr>
        <w:t>6</w:t>
      </w:r>
      <w:r w:rsidR="004B6CF4">
        <w:rPr>
          <w:rFonts w:ascii="Arial" w:hAnsi="Arial" w:cs="Arial"/>
        </w:rPr>
        <w:t>)</w:t>
      </w:r>
      <w:r>
        <w:rPr>
          <w:rFonts w:ascii="Arial" w:hAnsi="Arial" w:cs="Arial"/>
        </w:rPr>
        <w:t xml:space="preserve">.  In these circumstances, </w:t>
      </w:r>
      <w:r w:rsidR="004B6CF4">
        <w:rPr>
          <w:rFonts w:ascii="Arial" w:hAnsi="Arial" w:cs="Arial"/>
        </w:rPr>
        <w:t>registered providers of social housing should</w:t>
      </w:r>
      <w:r>
        <w:rPr>
          <w:rFonts w:ascii="Arial" w:hAnsi="Arial" w:cs="Arial"/>
        </w:rPr>
        <w:t xml:space="preserve"> make a clear case for why a flexible fixed term tenancy is the most appropriate tenancy for the household.</w:t>
      </w:r>
    </w:p>
    <w:p w14:paraId="05EB5A7E" w14:textId="77777777" w:rsidR="00EE2D00" w:rsidRDefault="00EE2D00" w:rsidP="00053246">
      <w:pPr>
        <w:rPr>
          <w:rFonts w:ascii="Arial" w:hAnsi="Arial" w:cs="Arial"/>
        </w:rPr>
      </w:pPr>
    </w:p>
    <w:p w14:paraId="30FB53FD" w14:textId="77777777" w:rsidR="00EE2D00" w:rsidRDefault="00EE2D00" w:rsidP="00053246">
      <w:pPr>
        <w:numPr>
          <w:ilvl w:val="0"/>
          <w:numId w:val="17"/>
        </w:numPr>
        <w:ind w:left="0"/>
        <w:rPr>
          <w:rFonts w:ascii="Arial" w:hAnsi="Arial" w:cs="Arial"/>
        </w:rPr>
      </w:pPr>
      <w:r>
        <w:rPr>
          <w:rFonts w:ascii="Arial" w:hAnsi="Arial" w:cs="Arial"/>
        </w:rPr>
        <w:t xml:space="preserve">The circumstances </w:t>
      </w:r>
      <w:r w:rsidR="00B110EB">
        <w:rPr>
          <w:rFonts w:ascii="Arial" w:hAnsi="Arial" w:cs="Arial"/>
        </w:rPr>
        <w:t xml:space="preserve">where </w:t>
      </w:r>
      <w:r w:rsidR="00A91A92">
        <w:rPr>
          <w:rFonts w:ascii="Arial" w:hAnsi="Arial" w:cs="Arial"/>
        </w:rPr>
        <w:t>the Council would support the use of</w:t>
      </w:r>
      <w:r>
        <w:rPr>
          <w:rFonts w:ascii="Arial" w:hAnsi="Arial" w:cs="Arial"/>
        </w:rPr>
        <w:t xml:space="preserve"> flexible fixed term tenan</w:t>
      </w:r>
      <w:r w:rsidR="00A91A92">
        <w:rPr>
          <w:rFonts w:ascii="Arial" w:hAnsi="Arial" w:cs="Arial"/>
        </w:rPr>
        <w:t>cies</w:t>
      </w:r>
      <w:r>
        <w:rPr>
          <w:rFonts w:ascii="Arial" w:hAnsi="Arial" w:cs="Arial"/>
        </w:rPr>
        <w:t xml:space="preserve"> includes:</w:t>
      </w:r>
    </w:p>
    <w:p w14:paraId="34D1DDF0" w14:textId="77777777" w:rsidR="00EE2D00" w:rsidRDefault="00EE2D00" w:rsidP="00053246">
      <w:pPr>
        <w:rPr>
          <w:rFonts w:ascii="Arial" w:hAnsi="Arial" w:cs="Arial"/>
        </w:rPr>
      </w:pPr>
    </w:p>
    <w:p w14:paraId="723C0F89" w14:textId="77777777" w:rsidR="00EE2D00" w:rsidRPr="00421E33" w:rsidRDefault="00EE2D00" w:rsidP="001F39A9">
      <w:pPr>
        <w:numPr>
          <w:ilvl w:val="1"/>
          <w:numId w:val="17"/>
        </w:numPr>
        <w:tabs>
          <w:tab w:val="num" w:pos="1080"/>
        </w:tabs>
        <w:rPr>
          <w:rFonts w:ascii="Arial" w:hAnsi="Arial" w:cs="Arial"/>
        </w:rPr>
      </w:pPr>
      <w:r>
        <w:rPr>
          <w:rFonts w:ascii="Arial" w:hAnsi="Arial" w:cs="Arial"/>
        </w:rPr>
        <w:t xml:space="preserve">When the applicant is offered a property that has </w:t>
      </w:r>
      <w:r w:rsidRPr="009065D1">
        <w:rPr>
          <w:rFonts w:ascii="Arial" w:hAnsi="Arial" w:cs="Arial"/>
        </w:rPr>
        <w:t xml:space="preserve">five or more bedrooms.  </w:t>
      </w:r>
      <w:r>
        <w:rPr>
          <w:rFonts w:ascii="Arial" w:hAnsi="Arial" w:cs="Arial"/>
        </w:rPr>
        <w:t xml:space="preserve">This is </w:t>
      </w:r>
      <w:r w:rsidR="000F64B0">
        <w:rPr>
          <w:rFonts w:ascii="Arial" w:hAnsi="Arial" w:cs="Arial"/>
        </w:rPr>
        <w:t xml:space="preserve">due to </w:t>
      </w:r>
      <w:r>
        <w:rPr>
          <w:rFonts w:ascii="Arial" w:hAnsi="Arial" w:cs="Arial"/>
        </w:rPr>
        <w:t>t</w:t>
      </w:r>
      <w:r w:rsidRPr="009065D1">
        <w:rPr>
          <w:rFonts w:ascii="Arial" w:hAnsi="Arial" w:cs="Arial"/>
        </w:rPr>
        <w:t xml:space="preserve">here </w:t>
      </w:r>
      <w:r w:rsidR="000F64B0">
        <w:rPr>
          <w:rFonts w:ascii="Arial" w:hAnsi="Arial" w:cs="Arial"/>
        </w:rPr>
        <w:t>being</w:t>
      </w:r>
      <w:r w:rsidRPr="009065D1">
        <w:rPr>
          <w:rFonts w:ascii="Arial" w:hAnsi="Arial" w:cs="Arial"/>
        </w:rPr>
        <w:t xml:space="preserve"> a shortage of </w:t>
      </w:r>
      <w:r>
        <w:rPr>
          <w:rFonts w:ascii="Arial" w:hAnsi="Arial" w:cs="Arial"/>
        </w:rPr>
        <w:t>these</w:t>
      </w:r>
      <w:r w:rsidRPr="009065D1">
        <w:rPr>
          <w:rFonts w:ascii="Arial" w:hAnsi="Arial" w:cs="Arial"/>
        </w:rPr>
        <w:t xml:space="preserve"> propert</w:t>
      </w:r>
      <w:r>
        <w:rPr>
          <w:rFonts w:ascii="Arial" w:hAnsi="Arial" w:cs="Arial"/>
        </w:rPr>
        <w:t>y types</w:t>
      </w:r>
      <w:r w:rsidRPr="009065D1">
        <w:rPr>
          <w:rFonts w:ascii="Arial" w:hAnsi="Arial" w:cs="Arial"/>
        </w:rPr>
        <w:t xml:space="preserve"> when compared to the very high demand</w:t>
      </w:r>
      <w:r w:rsidR="004E671E">
        <w:rPr>
          <w:rFonts w:ascii="Arial" w:hAnsi="Arial" w:cs="Arial"/>
        </w:rPr>
        <w:t xml:space="preserve"> in the Borough</w:t>
      </w:r>
      <w:r>
        <w:rPr>
          <w:rFonts w:ascii="Arial" w:hAnsi="Arial" w:cs="Arial"/>
        </w:rPr>
        <w:t xml:space="preserve">.  For larger households requiring larger sized homes, their household size may change over time, and flexible fixed term tenancies would enable reassessment of the household needs and help the </w:t>
      </w:r>
      <w:r w:rsidR="00B85272">
        <w:rPr>
          <w:rFonts w:ascii="Arial" w:hAnsi="Arial" w:cs="Arial"/>
        </w:rPr>
        <w:t>registered provider of social housing</w:t>
      </w:r>
      <w:r>
        <w:rPr>
          <w:rFonts w:ascii="Arial" w:hAnsi="Arial" w:cs="Arial"/>
        </w:rPr>
        <w:t xml:space="preserve"> identify households who no longer require such properties. This ensures that properties in very high demand are matched to the most appropriate households.</w:t>
      </w:r>
    </w:p>
    <w:p w14:paraId="052CE253" w14:textId="77777777" w:rsidR="00EE2D00" w:rsidRDefault="00EE2D00" w:rsidP="001F39A9">
      <w:pPr>
        <w:tabs>
          <w:tab w:val="num" w:pos="360"/>
        </w:tabs>
        <w:ind w:left="360"/>
        <w:rPr>
          <w:rFonts w:ascii="Arial" w:hAnsi="Arial" w:cs="Arial"/>
        </w:rPr>
      </w:pPr>
    </w:p>
    <w:p w14:paraId="25F33ED4" w14:textId="77777777" w:rsidR="00EE2D00" w:rsidRPr="005E3E42" w:rsidRDefault="00EE2D00" w:rsidP="00053246">
      <w:pPr>
        <w:numPr>
          <w:ilvl w:val="0"/>
          <w:numId w:val="17"/>
        </w:numPr>
        <w:ind w:left="0"/>
        <w:rPr>
          <w:rFonts w:ascii="Arial" w:hAnsi="Arial" w:cs="Arial"/>
        </w:rPr>
      </w:pPr>
      <w:r>
        <w:rPr>
          <w:rFonts w:ascii="Arial" w:hAnsi="Arial" w:cs="Arial"/>
        </w:rPr>
        <w:t xml:space="preserve">During any review period of a flexible fixed term tenancy, the </w:t>
      </w:r>
      <w:r w:rsidR="00AC1A2B">
        <w:rPr>
          <w:rFonts w:ascii="Arial" w:hAnsi="Arial" w:cs="Arial"/>
        </w:rPr>
        <w:t xml:space="preserve">Council expects registered providers of social housing to </w:t>
      </w:r>
      <w:r>
        <w:rPr>
          <w:rFonts w:ascii="Arial" w:hAnsi="Arial" w:cs="Arial"/>
        </w:rPr>
        <w:t xml:space="preserve">specifically review each </w:t>
      </w:r>
      <w:r w:rsidR="001A376D">
        <w:rPr>
          <w:rFonts w:ascii="Arial" w:hAnsi="Arial" w:cs="Arial"/>
        </w:rPr>
        <w:t>tenant’s</w:t>
      </w:r>
      <w:r>
        <w:rPr>
          <w:rFonts w:ascii="Arial" w:hAnsi="Arial" w:cs="Arial"/>
        </w:rPr>
        <w:t xml:space="preserve"> household circumstances, housing need, tenancy record, the overall suitability of the property for their household and, taking these into account, their housing options. </w:t>
      </w:r>
    </w:p>
    <w:p w14:paraId="7FBE1916" w14:textId="77777777" w:rsidR="00EE2D00" w:rsidRDefault="00EE2D00" w:rsidP="00053246">
      <w:pPr>
        <w:rPr>
          <w:rFonts w:ascii="Arial" w:hAnsi="Arial" w:cs="Arial"/>
        </w:rPr>
      </w:pPr>
    </w:p>
    <w:p w14:paraId="3AD56B89" w14:textId="77777777" w:rsidR="00EE2D00" w:rsidRDefault="00EE2D00" w:rsidP="00053246">
      <w:pPr>
        <w:numPr>
          <w:ilvl w:val="0"/>
          <w:numId w:val="17"/>
        </w:numPr>
        <w:ind w:left="0"/>
        <w:rPr>
          <w:rFonts w:ascii="Arial" w:hAnsi="Arial" w:cs="Arial"/>
        </w:rPr>
      </w:pPr>
      <w:r>
        <w:rPr>
          <w:rFonts w:ascii="Arial" w:hAnsi="Arial" w:cs="Arial"/>
        </w:rPr>
        <w:t xml:space="preserve">When </w:t>
      </w:r>
      <w:r w:rsidR="00A2414D">
        <w:rPr>
          <w:rFonts w:ascii="Arial" w:hAnsi="Arial" w:cs="Arial"/>
        </w:rPr>
        <w:t>using</w:t>
      </w:r>
      <w:r>
        <w:rPr>
          <w:rFonts w:ascii="Arial" w:hAnsi="Arial" w:cs="Arial"/>
        </w:rPr>
        <w:t xml:space="preserve"> flexible fixed term tenanc</w:t>
      </w:r>
      <w:r w:rsidR="00A2414D">
        <w:rPr>
          <w:rFonts w:ascii="Arial" w:hAnsi="Arial" w:cs="Arial"/>
        </w:rPr>
        <w:t>ies</w:t>
      </w:r>
      <w:r>
        <w:rPr>
          <w:rFonts w:ascii="Arial" w:hAnsi="Arial" w:cs="Arial"/>
        </w:rPr>
        <w:t>,</w:t>
      </w:r>
      <w:r w:rsidR="005D282A">
        <w:rPr>
          <w:rFonts w:ascii="Arial" w:hAnsi="Arial" w:cs="Arial"/>
        </w:rPr>
        <w:t xml:space="preserve"> </w:t>
      </w:r>
      <w:r w:rsidR="00A2414D">
        <w:rPr>
          <w:rFonts w:ascii="Arial" w:hAnsi="Arial" w:cs="Arial"/>
        </w:rPr>
        <w:t xml:space="preserve">the Council recommends that </w:t>
      </w:r>
      <w:r w:rsidR="005D282A">
        <w:rPr>
          <w:rFonts w:ascii="Arial" w:hAnsi="Arial" w:cs="Arial"/>
        </w:rPr>
        <w:t>registered providers of social housing should issue</w:t>
      </w:r>
      <w:r>
        <w:rPr>
          <w:rFonts w:ascii="Arial" w:hAnsi="Arial" w:cs="Arial"/>
        </w:rPr>
        <w:t xml:space="preserve"> all new social housing tenants a</w:t>
      </w:r>
      <w:r w:rsidR="005D282A">
        <w:rPr>
          <w:rFonts w:ascii="Arial" w:hAnsi="Arial" w:cs="Arial"/>
        </w:rPr>
        <w:t>n initial</w:t>
      </w:r>
      <w:r>
        <w:rPr>
          <w:rFonts w:ascii="Arial" w:hAnsi="Arial" w:cs="Arial"/>
        </w:rPr>
        <w:t xml:space="preserve"> 12-month introductory tenancy (where legislation allows) followed by a ten year flexible fixed term tenancy, and all subsequent flexible fixed term tenancies will be of five years.</w:t>
      </w:r>
    </w:p>
    <w:p w14:paraId="288B3B11" w14:textId="77777777" w:rsidR="00EE2D00" w:rsidRDefault="00EE2D00" w:rsidP="00053246">
      <w:pPr>
        <w:rPr>
          <w:rFonts w:ascii="Arial" w:hAnsi="Arial" w:cs="Arial"/>
        </w:rPr>
      </w:pPr>
    </w:p>
    <w:p w14:paraId="0065BBEB" w14:textId="77777777" w:rsidR="00EE2D00" w:rsidRDefault="00A92CC4" w:rsidP="00053246">
      <w:pPr>
        <w:numPr>
          <w:ilvl w:val="0"/>
          <w:numId w:val="17"/>
        </w:numPr>
        <w:ind w:left="0"/>
        <w:rPr>
          <w:rFonts w:ascii="Arial" w:hAnsi="Arial" w:cs="Arial"/>
        </w:rPr>
      </w:pPr>
      <w:r>
        <w:rPr>
          <w:rFonts w:ascii="Arial" w:hAnsi="Arial" w:cs="Arial"/>
        </w:rPr>
        <w:t>Registered</w:t>
      </w:r>
      <w:r w:rsidR="006D01C2">
        <w:rPr>
          <w:rFonts w:ascii="Arial" w:hAnsi="Arial" w:cs="Arial"/>
        </w:rPr>
        <w:t xml:space="preserve"> providers of social housing </w:t>
      </w:r>
      <w:r w:rsidR="00EE2D00" w:rsidRPr="00B67970">
        <w:rPr>
          <w:rFonts w:ascii="Arial" w:hAnsi="Arial" w:cs="Arial"/>
        </w:rPr>
        <w:t xml:space="preserve">may offer </w:t>
      </w:r>
      <w:r w:rsidR="00EE2D00">
        <w:rPr>
          <w:rFonts w:ascii="Arial" w:hAnsi="Arial" w:cs="Arial"/>
        </w:rPr>
        <w:t xml:space="preserve">flexible fixed term tenancies </w:t>
      </w:r>
      <w:r w:rsidR="00EE2D00" w:rsidRPr="00B67970">
        <w:rPr>
          <w:rFonts w:ascii="Arial" w:hAnsi="Arial" w:cs="Arial"/>
        </w:rPr>
        <w:t xml:space="preserve">of less than </w:t>
      </w:r>
      <w:r w:rsidR="00EE2D00">
        <w:rPr>
          <w:rFonts w:ascii="Arial" w:hAnsi="Arial" w:cs="Arial"/>
        </w:rPr>
        <w:t xml:space="preserve">the initial </w:t>
      </w:r>
      <w:r w:rsidR="00EE2D00" w:rsidRPr="00B67970">
        <w:rPr>
          <w:rFonts w:ascii="Arial" w:hAnsi="Arial" w:cs="Arial"/>
        </w:rPr>
        <w:t xml:space="preserve">ten years or subsequent five years </w:t>
      </w:r>
      <w:r w:rsidR="00EE2D00">
        <w:rPr>
          <w:rFonts w:ascii="Arial" w:hAnsi="Arial" w:cs="Arial"/>
        </w:rPr>
        <w:t>but</w:t>
      </w:r>
      <w:r w:rsidR="00EE2D00" w:rsidRPr="00B67970">
        <w:rPr>
          <w:rFonts w:ascii="Arial" w:hAnsi="Arial" w:cs="Arial"/>
        </w:rPr>
        <w:t xml:space="preserve"> not less than two years in the following circumstances: </w:t>
      </w:r>
    </w:p>
    <w:p w14:paraId="59E6D773" w14:textId="77777777" w:rsidR="00EE2D00" w:rsidRPr="00B67970" w:rsidRDefault="00EE2D00" w:rsidP="00053246">
      <w:pPr>
        <w:rPr>
          <w:rFonts w:ascii="Arial" w:hAnsi="Arial" w:cs="Arial"/>
        </w:rPr>
      </w:pPr>
    </w:p>
    <w:p w14:paraId="07E42FA6" w14:textId="77777777" w:rsidR="00EE2D00" w:rsidRDefault="00EE2D00" w:rsidP="00A92CC4">
      <w:pPr>
        <w:numPr>
          <w:ilvl w:val="1"/>
          <w:numId w:val="17"/>
        </w:numPr>
        <w:rPr>
          <w:rFonts w:ascii="Arial" w:hAnsi="Arial" w:cs="Arial"/>
        </w:rPr>
      </w:pPr>
      <w:r>
        <w:rPr>
          <w:rFonts w:ascii="Arial" w:hAnsi="Arial" w:cs="Arial"/>
        </w:rPr>
        <w:t>Where a tenant has not managed a previous tenancy well or has a history of anti-social behaviour or non-payment of rent; or</w:t>
      </w:r>
    </w:p>
    <w:p w14:paraId="58049F23" w14:textId="77777777" w:rsidR="00EE2D00" w:rsidRDefault="00EE2D00" w:rsidP="00A92CC4">
      <w:pPr>
        <w:tabs>
          <w:tab w:val="num" w:pos="360"/>
        </w:tabs>
        <w:ind w:left="360"/>
        <w:rPr>
          <w:rFonts w:ascii="Arial" w:hAnsi="Arial" w:cs="Arial"/>
        </w:rPr>
      </w:pPr>
    </w:p>
    <w:p w14:paraId="4459E585" w14:textId="77777777" w:rsidR="00EE2D00" w:rsidRDefault="00EE2D00" w:rsidP="00A92CC4">
      <w:pPr>
        <w:numPr>
          <w:ilvl w:val="1"/>
          <w:numId w:val="17"/>
        </w:numPr>
        <w:rPr>
          <w:rFonts w:ascii="Arial" w:hAnsi="Arial" w:cs="Arial"/>
        </w:rPr>
      </w:pPr>
      <w:r>
        <w:rPr>
          <w:rFonts w:ascii="Arial" w:hAnsi="Arial" w:cs="Arial"/>
        </w:rPr>
        <w:t>Where the tenancy is offered in a property which is due to be decanted for regeneration purposes.</w:t>
      </w:r>
    </w:p>
    <w:p w14:paraId="47C6F70F" w14:textId="77777777" w:rsidR="00EE2D00" w:rsidRDefault="00EE2D00" w:rsidP="00053246">
      <w:pPr>
        <w:rPr>
          <w:rFonts w:ascii="Arial" w:hAnsi="Arial" w:cs="Arial"/>
        </w:rPr>
      </w:pPr>
    </w:p>
    <w:p w14:paraId="3700C8D3" w14:textId="77777777" w:rsidR="00EE2D00" w:rsidRDefault="00EE2D00" w:rsidP="00053246">
      <w:pPr>
        <w:numPr>
          <w:ilvl w:val="0"/>
          <w:numId w:val="17"/>
        </w:numPr>
        <w:ind w:left="0"/>
        <w:rPr>
          <w:rFonts w:ascii="Arial" w:hAnsi="Arial" w:cs="Arial"/>
        </w:rPr>
      </w:pPr>
      <w:r>
        <w:rPr>
          <w:rFonts w:ascii="Arial" w:hAnsi="Arial" w:cs="Arial"/>
        </w:rPr>
        <w:t xml:space="preserve">There are restrictions on when </w:t>
      </w:r>
      <w:r w:rsidR="00A92CC4">
        <w:rPr>
          <w:rFonts w:ascii="Arial" w:hAnsi="Arial" w:cs="Arial"/>
        </w:rPr>
        <w:t>registered provid</w:t>
      </w:r>
      <w:r w:rsidR="005442C2">
        <w:rPr>
          <w:rFonts w:ascii="Arial" w:hAnsi="Arial" w:cs="Arial"/>
        </w:rPr>
        <w:t xml:space="preserve">ers of social housing can use </w:t>
      </w:r>
      <w:r>
        <w:rPr>
          <w:rFonts w:ascii="Arial" w:hAnsi="Arial" w:cs="Arial"/>
        </w:rPr>
        <w:t>flexible fixed term tenancies, and in all of the following circumstances only a secure periodic</w:t>
      </w:r>
      <w:r w:rsidR="00262C5E">
        <w:rPr>
          <w:rFonts w:ascii="Arial" w:hAnsi="Arial" w:cs="Arial"/>
        </w:rPr>
        <w:t xml:space="preserve"> / assured</w:t>
      </w:r>
      <w:r>
        <w:rPr>
          <w:rFonts w:ascii="Arial" w:hAnsi="Arial" w:cs="Arial"/>
        </w:rPr>
        <w:t xml:space="preserve"> tenancy </w:t>
      </w:r>
      <w:r w:rsidR="00C0530B">
        <w:rPr>
          <w:rFonts w:ascii="Arial" w:hAnsi="Arial" w:cs="Arial"/>
        </w:rPr>
        <w:t>must</w:t>
      </w:r>
      <w:r>
        <w:rPr>
          <w:rFonts w:ascii="Arial" w:hAnsi="Arial" w:cs="Arial"/>
        </w:rPr>
        <w:t xml:space="preserve"> be offered:</w:t>
      </w:r>
    </w:p>
    <w:p w14:paraId="34252058" w14:textId="77777777" w:rsidR="00EE2D00" w:rsidRDefault="00EE2D00" w:rsidP="00053246">
      <w:pPr>
        <w:rPr>
          <w:rFonts w:ascii="Arial" w:hAnsi="Arial" w:cs="Arial"/>
        </w:rPr>
      </w:pPr>
    </w:p>
    <w:p w14:paraId="0F5693B5" w14:textId="77777777" w:rsidR="00EE2D00" w:rsidRDefault="00EE2D00" w:rsidP="00727766">
      <w:pPr>
        <w:numPr>
          <w:ilvl w:val="1"/>
          <w:numId w:val="17"/>
        </w:numPr>
        <w:rPr>
          <w:rFonts w:ascii="Arial" w:hAnsi="Arial" w:cs="Arial"/>
        </w:rPr>
      </w:pPr>
      <w:r>
        <w:rPr>
          <w:rFonts w:ascii="Arial" w:hAnsi="Arial" w:cs="Arial"/>
        </w:rPr>
        <w:lastRenderedPageBreak/>
        <w:t xml:space="preserve">Where </w:t>
      </w:r>
      <w:r w:rsidR="009B4F10">
        <w:rPr>
          <w:rFonts w:ascii="Arial" w:hAnsi="Arial" w:cs="Arial"/>
        </w:rPr>
        <w:t>the registered provider of social housing offers a</w:t>
      </w:r>
      <w:r>
        <w:rPr>
          <w:rFonts w:ascii="Arial" w:hAnsi="Arial" w:cs="Arial"/>
        </w:rPr>
        <w:t xml:space="preserve"> tenancy on Social Rent terms to an applicant who was already a social housing tenant as at 1</w:t>
      </w:r>
      <w:r w:rsidRPr="005C1B61">
        <w:rPr>
          <w:rFonts w:ascii="Arial" w:hAnsi="Arial" w:cs="Arial"/>
          <w:vertAlign w:val="superscript"/>
        </w:rPr>
        <w:t>st</w:t>
      </w:r>
      <w:r>
        <w:rPr>
          <w:rFonts w:ascii="Arial" w:hAnsi="Arial" w:cs="Arial"/>
        </w:rPr>
        <w:t xml:space="preserve"> April 20</w:t>
      </w:r>
      <w:r w:rsidR="009B4F10">
        <w:rPr>
          <w:rFonts w:ascii="Arial" w:hAnsi="Arial" w:cs="Arial"/>
        </w:rPr>
        <w:t>12</w:t>
      </w:r>
      <w:r>
        <w:rPr>
          <w:rFonts w:ascii="Arial" w:hAnsi="Arial" w:cs="Arial"/>
        </w:rPr>
        <w:t xml:space="preserve"> and has remained a social housing tenant since that date; </w:t>
      </w:r>
    </w:p>
    <w:p w14:paraId="076D4207" w14:textId="77777777" w:rsidR="00EE2D00" w:rsidRDefault="00EE2D00" w:rsidP="00727766">
      <w:pPr>
        <w:tabs>
          <w:tab w:val="num" w:pos="360"/>
        </w:tabs>
        <w:ind w:left="360"/>
        <w:rPr>
          <w:rFonts w:ascii="Arial" w:hAnsi="Arial" w:cs="Arial"/>
        </w:rPr>
      </w:pPr>
    </w:p>
    <w:p w14:paraId="058AADA9" w14:textId="77777777" w:rsidR="00EE2D00" w:rsidRDefault="00CE443D" w:rsidP="00727766">
      <w:pPr>
        <w:numPr>
          <w:ilvl w:val="1"/>
          <w:numId w:val="17"/>
        </w:numPr>
        <w:rPr>
          <w:rFonts w:ascii="Arial" w:hAnsi="Arial" w:cs="Arial"/>
        </w:rPr>
      </w:pPr>
      <w:r>
        <w:rPr>
          <w:rFonts w:ascii="Arial" w:hAnsi="Arial" w:cs="Arial"/>
        </w:rPr>
        <w:t>Where t</w:t>
      </w:r>
      <w:r w:rsidR="00EE2D00">
        <w:rPr>
          <w:rFonts w:ascii="Arial" w:hAnsi="Arial" w:cs="Arial"/>
        </w:rPr>
        <w:t>he tenancy is set at Social Rent levels and it is a new build property that has been funded via the GLA</w:t>
      </w:r>
      <w:r w:rsidR="00EE2D00" w:rsidRPr="008106B2">
        <w:rPr>
          <w:rFonts w:ascii="Arial" w:hAnsi="Arial" w:cs="Arial"/>
        </w:rPr>
        <w:t xml:space="preserve"> </w:t>
      </w:r>
      <w:r w:rsidR="00EE2D00">
        <w:rPr>
          <w:rFonts w:ascii="Arial" w:hAnsi="Arial" w:cs="Arial"/>
        </w:rPr>
        <w:t>2021-2026 Affordable Homes Programme;</w:t>
      </w:r>
    </w:p>
    <w:p w14:paraId="3434D8D4" w14:textId="77777777" w:rsidR="00EE2D00" w:rsidRDefault="00EE2D00" w:rsidP="00727766">
      <w:pPr>
        <w:tabs>
          <w:tab w:val="num" w:pos="360"/>
        </w:tabs>
        <w:ind w:left="360"/>
        <w:rPr>
          <w:rFonts w:ascii="Arial" w:hAnsi="Arial" w:cs="Arial"/>
        </w:rPr>
      </w:pPr>
    </w:p>
    <w:p w14:paraId="6A6F0BD7" w14:textId="77777777" w:rsidR="00EE2D00" w:rsidRDefault="00EE2D00" w:rsidP="00727766">
      <w:pPr>
        <w:numPr>
          <w:ilvl w:val="1"/>
          <w:numId w:val="17"/>
        </w:numPr>
        <w:rPr>
          <w:rFonts w:ascii="Arial" w:hAnsi="Arial" w:cs="Arial"/>
        </w:rPr>
      </w:pPr>
      <w:r>
        <w:rPr>
          <w:rFonts w:ascii="Arial" w:hAnsi="Arial" w:cs="Arial"/>
        </w:rPr>
        <w:t>Where a secure periodic</w:t>
      </w:r>
      <w:r w:rsidR="00667719">
        <w:rPr>
          <w:rFonts w:ascii="Arial" w:hAnsi="Arial" w:cs="Arial"/>
        </w:rPr>
        <w:t xml:space="preserve"> / assured</w:t>
      </w:r>
      <w:r>
        <w:rPr>
          <w:rFonts w:ascii="Arial" w:hAnsi="Arial" w:cs="Arial"/>
        </w:rPr>
        <w:t xml:space="preserve"> tenant had </w:t>
      </w:r>
      <w:r w:rsidRPr="00522DBF">
        <w:rPr>
          <w:rFonts w:ascii="Arial" w:hAnsi="Arial" w:cs="Arial"/>
        </w:rPr>
        <w:t>been moved into alternative accommodation during any redevelopment or other work</w:t>
      </w:r>
      <w:r>
        <w:rPr>
          <w:rFonts w:ascii="Arial" w:hAnsi="Arial" w:cs="Arial"/>
        </w:rPr>
        <w:t>; and</w:t>
      </w:r>
    </w:p>
    <w:p w14:paraId="4126143E" w14:textId="77777777" w:rsidR="00EE2D00" w:rsidRDefault="00EE2D00" w:rsidP="00727766">
      <w:pPr>
        <w:tabs>
          <w:tab w:val="num" w:pos="360"/>
        </w:tabs>
        <w:ind w:left="360"/>
        <w:rPr>
          <w:rFonts w:ascii="Arial" w:hAnsi="Arial" w:cs="Arial"/>
        </w:rPr>
      </w:pPr>
    </w:p>
    <w:p w14:paraId="6CE35FE5" w14:textId="77777777" w:rsidR="00EE2D00" w:rsidRPr="009C5AFA" w:rsidRDefault="00EE2D00" w:rsidP="00727766">
      <w:pPr>
        <w:numPr>
          <w:ilvl w:val="1"/>
          <w:numId w:val="17"/>
        </w:numPr>
        <w:rPr>
          <w:rFonts w:ascii="Arial" w:hAnsi="Arial" w:cs="Arial"/>
        </w:rPr>
      </w:pPr>
      <w:r w:rsidRPr="009C5AFA">
        <w:rPr>
          <w:rFonts w:ascii="Arial" w:hAnsi="Arial" w:cs="Arial"/>
        </w:rPr>
        <w:t xml:space="preserve">Where a secure periodic </w:t>
      </w:r>
      <w:r w:rsidR="00262C5E">
        <w:rPr>
          <w:rFonts w:ascii="Arial" w:hAnsi="Arial" w:cs="Arial"/>
        </w:rPr>
        <w:t xml:space="preserve">/ assured </w:t>
      </w:r>
      <w:r w:rsidRPr="009C5AFA">
        <w:rPr>
          <w:rFonts w:ascii="Arial" w:hAnsi="Arial" w:cs="Arial"/>
        </w:rPr>
        <w:t xml:space="preserve">tenant or member of the person’s household is or has been the victim of domestic abuse carried out by another person and the </w:t>
      </w:r>
      <w:r w:rsidR="009A2083">
        <w:rPr>
          <w:rFonts w:ascii="Arial" w:hAnsi="Arial" w:cs="Arial"/>
        </w:rPr>
        <w:t>registered provider of social housing</w:t>
      </w:r>
      <w:r w:rsidRPr="009C5AFA">
        <w:rPr>
          <w:rFonts w:ascii="Arial" w:hAnsi="Arial" w:cs="Arial"/>
        </w:rPr>
        <w:t xml:space="preserve"> grants a new tenancy for reasons connected with that abuse.</w:t>
      </w:r>
    </w:p>
    <w:p w14:paraId="69E2B812" w14:textId="77777777" w:rsidR="00EE2D00" w:rsidRDefault="00EE2D00" w:rsidP="00053246">
      <w:pPr>
        <w:pStyle w:val="ListParagraph"/>
        <w:ind w:left="0"/>
        <w:rPr>
          <w:rFonts w:ascii="Arial" w:hAnsi="Arial" w:cs="Arial"/>
        </w:rPr>
      </w:pPr>
    </w:p>
    <w:p w14:paraId="39BC6953" w14:textId="77777777" w:rsidR="00EE2D00" w:rsidRDefault="00EE2D00" w:rsidP="00053246">
      <w:pPr>
        <w:rPr>
          <w:rFonts w:ascii="Arial" w:hAnsi="Arial" w:cs="Arial"/>
          <w:u w:val="single"/>
        </w:rPr>
      </w:pPr>
      <w:r w:rsidRPr="00C4250F">
        <w:rPr>
          <w:rFonts w:ascii="Arial" w:hAnsi="Arial" w:cs="Arial"/>
          <w:u w:val="single"/>
        </w:rPr>
        <w:t>Introductory tenancies</w:t>
      </w:r>
    </w:p>
    <w:p w14:paraId="0C216661" w14:textId="77777777" w:rsidR="00EE2D00" w:rsidRPr="00C4250F" w:rsidRDefault="00EE2D00" w:rsidP="00053246">
      <w:pPr>
        <w:rPr>
          <w:rFonts w:ascii="Arial" w:hAnsi="Arial" w:cs="Arial"/>
          <w:u w:val="single"/>
        </w:rPr>
      </w:pPr>
    </w:p>
    <w:p w14:paraId="786146D1" w14:textId="77777777" w:rsidR="00EE2D00" w:rsidRDefault="00EE2D00" w:rsidP="00053246">
      <w:pPr>
        <w:numPr>
          <w:ilvl w:val="0"/>
          <w:numId w:val="17"/>
        </w:numPr>
        <w:ind w:left="0"/>
        <w:rPr>
          <w:rFonts w:ascii="Arial" w:hAnsi="Arial" w:cs="Arial"/>
        </w:rPr>
      </w:pPr>
      <w:r>
        <w:rPr>
          <w:rFonts w:ascii="Arial" w:hAnsi="Arial" w:cs="Arial"/>
        </w:rPr>
        <w:t>For all new tenants of social housing, the Council</w:t>
      </w:r>
      <w:r w:rsidR="00714716">
        <w:rPr>
          <w:rFonts w:ascii="Arial" w:hAnsi="Arial" w:cs="Arial"/>
        </w:rPr>
        <w:t xml:space="preserve"> expects registered providers of social housing to </w:t>
      </w:r>
      <w:r>
        <w:rPr>
          <w:rFonts w:ascii="Arial" w:hAnsi="Arial" w:cs="Arial"/>
        </w:rPr>
        <w:t>offer a 12-month introductory tenancy which is a probationary period for new tenants.  This 12-month introductory period gives the tenant time to understand their responsibility as a social housing tenant and encourages tenants to abide by the terms and conditions of their tenancy.</w:t>
      </w:r>
    </w:p>
    <w:p w14:paraId="46E6A6E1" w14:textId="77777777" w:rsidR="00EE2D00" w:rsidRDefault="00EE2D00" w:rsidP="00053246">
      <w:pPr>
        <w:rPr>
          <w:rFonts w:ascii="Arial" w:hAnsi="Arial" w:cs="Arial"/>
        </w:rPr>
      </w:pPr>
    </w:p>
    <w:p w14:paraId="199CCF65" w14:textId="77777777" w:rsidR="00EE2D00" w:rsidRDefault="00910FB0" w:rsidP="00053246">
      <w:pPr>
        <w:numPr>
          <w:ilvl w:val="0"/>
          <w:numId w:val="17"/>
        </w:numPr>
        <w:ind w:left="0"/>
        <w:rPr>
          <w:rFonts w:ascii="Arial" w:hAnsi="Arial" w:cs="Arial"/>
        </w:rPr>
      </w:pPr>
      <w:r>
        <w:rPr>
          <w:rFonts w:ascii="Arial" w:hAnsi="Arial" w:cs="Arial"/>
        </w:rPr>
        <w:t>Registered providers of social housing</w:t>
      </w:r>
      <w:r w:rsidR="00EE2D00" w:rsidRPr="00722B54">
        <w:rPr>
          <w:rFonts w:ascii="Arial" w:hAnsi="Arial" w:cs="Arial"/>
        </w:rPr>
        <w:t xml:space="preserve"> should use </w:t>
      </w:r>
      <w:r w:rsidR="00EE2D00">
        <w:rPr>
          <w:rFonts w:ascii="Arial" w:hAnsi="Arial" w:cs="Arial"/>
        </w:rPr>
        <w:t>the</w:t>
      </w:r>
      <w:r w:rsidR="00EE2D00" w:rsidRPr="00722B54">
        <w:rPr>
          <w:rFonts w:ascii="Arial" w:hAnsi="Arial" w:cs="Arial"/>
        </w:rPr>
        <w:t xml:space="preserve"> 12-month probationary period to identify </w:t>
      </w:r>
      <w:r w:rsidR="00EE2D00">
        <w:rPr>
          <w:rFonts w:ascii="Arial" w:hAnsi="Arial" w:cs="Arial"/>
        </w:rPr>
        <w:t xml:space="preserve">any issues that may have become apparent since the tenant started their introductory tenancy.  Where any issues have been identified, the </w:t>
      </w:r>
      <w:r w:rsidR="0003213D">
        <w:rPr>
          <w:rFonts w:ascii="Arial" w:hAnsi="Arial" w:cs="Arial"/>
        </w:rPr>
        <w:t>registered provider of social housing</w:t>
      </w:r>
      <w:r w:rsidR="00EE2D00">
        <w:rPr>
          <w:rFonts w:ascii="Arial" w:hAnsi="Arial" w:cs="Arial"/>
        </w:rPr>
        <w:t xml:space="preserve"> </w:t>
      </w:r>
      <w:r w:rsidR="0003213D">
        <w:rPr>
          <w:rFonts w:ascii="Arial" w:hAnsi="Arial" w:cs="Arial"/>
        </w:rPr>
        <w:t>should</w:t>
      </w:r>
      <w:r w:rsidR="00EE2D00">
        <w:rPr>
          <w:rFonts w:ascii="Arial" w:hAnsi="Arial" w:cs="Arial"/>
        </w:rPr>
        <w:t xml:space="preserve"> work with the tenant to resolve these issues so that homelessness can be prevented before a decision to not grant a secure periodic tenancy at the end of the introductory period is made. </w:t>
      </w:r>
    </w:p>
    <w:p w14:paraId="2FCD1E60" w14:textId="77777777" w:rsidR="00EE2D00" w:rsidRPr="00EE5F0E" w:rsidRDefault="00EE2D00" w:rsidP="00053246">
      <w:pPr>
        <w:rPr>
          <w:rFonts w:ascii="Arial" w:hAnsi="Arial" w:cs="Arial"/>
        </w:rPr>
      </w:pPr>
    </w:p>
    <w:p w14:paraId="6B1303B1" w14:textId="77777777" w:rsidR="00EE2D00" w:rsidRDefault="00EE2D00" w:rsidP="00053246">
      <w:pPr>
        <w:numPr>
          <w:ilvl w:val="0"/>
          <w:numId w:val="17"/>
        </w:numPr>
        <w:ind w:left="0"/>
        <w:rPr>
          <w:rFonts w:ascii="Arial" w:hAnsi="Arial" w:cs="Arial"/>
        </w:rPr>
      </w:pPr>
      <w:r>
        <w:rPr>
          <w:rFonts w:ascii="Arial" w:hAnsi="Arial" w:cs="Arial"/>
        </w:rPr>
        <w:t xml:space="preserve">At an end of an introductory tenancy, the tenant </w:t>
      </w:r>
      <w:r w:rsidR="0003213D">
        <w:rPr>
          <w:rFonts w:ascii="Arial" w:hAnsi="Arial" w:cs="Arial"/>
        </w:rPr>
        <w:t>should</w:t>
      </w:r>
      <w:r>
        <w:rPr>
          <w:rFonts w:ascii="Arial" w:hAnsi="Arial" w:cs="Arial"/>
        </w:rPr>
        <w:t xml:space="preserve"> automatically become a secure social housing tenant or if there is a record of breaches of the tenancy conditions the </w:t>
      </w:r>
      <w:r w:rsidR="0003213D">
        <w:rPr>
          <w:rFonts w:ascii="Arial" w:hAnsi="Arial" w:cs="Arial"/>
        </w:rPr>
        <w:t>registered provider of social housing</w:t>
      </w:r>
      <w:r>
        <w:rPr>
          <w:rFonts w:ascii="Arial" w:hAnsi="Arial" w:cs="Arial"/>
        </w:rPr>
        <w:t xml:space="preserve"> may decide to either extend the introductory tenancy by another 6-months or decide not to issue a secure social housing tenancy at the end of their introductory tenancy.</w:t>
      </w:r>
    </w:p>
    <w:p w14:paraId="53818DB1" w14:textId="77777777" w:rsidR="00EE2D00" w:rsidRDefault="00EE2D00" w:rsidP="00053246">
      <w:pPr>
        <w:pStyle w:val="ListParagraph"/>
        <w:ind w:left="0"/>
        <w:rPr>
          <w:rFonts w:ascii="Arial" w:hAnsi="Arial" w:cs="Arial"/>
        </w:rPr>
      </w:pPr>
    </w:p>
    <w:p w14:paraId="2C25AAD3" w14:textId="77777777" w:rsidR="00EE2D00" w:rsidRDefault="00EE2D00" w:rsidP="00053246">
      <w:pPr>
        <w:numPr>
          <w:ilvl w:val="0"/>
          <w:numId w:val="17"/>
        </w:numPr>
        <w:ind w:left="0"/>
        <w:rPr>
          <w:rFonts w:ascii="Arial" w:hAnsi="Arial" w:cs="Arial"/>
        </w:rPr>
      </w:pPr>
      <w:r>
        <w:rPr>
          <w:rFonts w:ascii="Arial" w:hAnsi="Arial" w:cs="Arial"/>
        </w:rPr>
        <w:t xml:space="preserve">In the event that the </w:t>
      </w:r>
      <w:r w:rsidR="003409CC">
        <w:rPr>
          <w:rFonts w:ascii="Arial" w:hAnsi="Arial" w:cs="Arial"/>
        </w:rPr>
        <w:t>registered provider of social housing</w:t>
      </w:r>
      <w:r>
        <w:rPr>
          <w:rFonts w:ascii="Arial" w:hAnsi="Arial" w:cs="Arial"/>
        </w:rPr>
        <w:t xml:space="preserve"> has made a decision not to issue a secure social housing tenancy on expiry of an introductory tenancy </w:t>
      </w:r>
      <w:r w:rsidRPr="00F9426D">
        <w:rPr>
          <w:rFonts w:ascii="Arial" w:hAnsi="Arial" w:cs="Arial"/>
        </w:rPr>
        <w:t xml:space="preserve">- for example where a tenant has </w:t>
      </w:r>
      <w:r>
        <w:rPr>
          <w:rFonts w:ascii="Arial" w:hAnsi="Arial" w:cs="Arial"/>
        </w:rPr>
        <w:t xml:space="preserve">generated a significant amount of rent arrears or there is recorded evidence </w:t>
      </w:r>
      <w:r w:rsidRPr="00F9426D">
        <w:rPr>
          <w:rFonts w:ascii="Arial" w:hAnsi="Arial" w:cs="Arial"/>
        </w:rPr>
        <w:t>of anti-social behaviour</w:t>
      </w:r>
      <w:r>
        <w:rPr>
          <w:rFonts w:ascii="Arial" w:hAnsi="Arial" w:cs="Arial"/>
        </w:rPr>
        <w:t xml:space="preserve"> – the </w:t>
      </w:r>
      <w:r w:rsidR="003409CC">
        <w:rPr>
          <w:rFonts w:ascii="Arial" w:hAnsi="Arial" w:cs="Arial"/>
        </w:rPr>
        <w:t>registered provider of social housing</w:t>
      </w:r>
      <w:r>
        <w:rPr>
          <w:rFonts w:ascii="Arial" w:hAnsi="Arial" w:cs="Arial"/>
        </w:rPr>
        <w:t xml:space="preserve"> will be minded to take legal action to repossess the property</w:t>
      </w:r>
      <w:r w:rsidRPr="00F9426D">
        <w:rPr>
          <w:rFonts w:ascii="Arial" w:hAnsi="Arial" w:cs="Arial"/>
        </w:rPr>
        <w:t>.</w:t>
      </w:r>
    </w:p>
    <w:p w14:paraId="3C172D3B" w14:textId="77777777" w:rsidR="00B72DD0" w:rsidRDefault="00B72DD0" w:rsidP="00585001">
      <w:pPr>
        <w:rPr>
          <w:rFonts w:ascii="Arial" w:hAnsi="Arial" w:cs="Arial"/>
          <w:i/>
          <w:u w:val="single"/>
        </w:rPr>
      </w:pPr>
    </w:p>
    <w:p w14:paraId="602EFC56" w14:textId="77777777" w:rsidR="009A4309" w:rsidRPr="00F82F3E" w:rsidRDefault="00887AED" w:rsidP="00585001">
      <w:pPr>
        <w:rPr>
          <w:rFonts w:ascii="Arial" w:hAnsi="Arial" w:cs="Arial"/>
          <w:b/>
          <w:bCs/>
          <w:iCs/>
          <w:u w:val="single"/>
        </w:rPr>
      </w:pPr>
      <w:r w:rsidRPr="00F82F3E">
        <w:rPr>
          <w:rFonts w:ascii="Arial" w:hAnsi="Arial" w:cs="Arial"/>
          <w:b/>
          <w:bCs/>
          <w:iCs/>
          <w:u w:val="single"/>
        </w:rPr>
        <w:t xml:space="preserve">Existing tenants </w:t>
      </w:r>
      <w:r w:rsidR="00767343">
        <w:rPr>
          <w:rFonts w:ascii="Arial" w:hAnsi="Arial" w:cs="Arial"/>
          <w:b/>
          <w:bCs/>
          <w:iCs/>
          <w:u w:val="single"/>
        </w:rPr>
        <w:t>on</w:t>
      </w:r>
      <w:r w:rsidR="001C4BAB">
        <w:rPr>
          <w:rFonts w:ascii="Arial" w:hAnsi="Arial" w:cs="Arial"/>
          <w:b/>
          <w:bCs/>
          <w:iCs/>
          <w:u w:val="single"/>
        </w:rPr>
        <w:t xml:space="preserve"> </w:t>
      </w:r>
      <w:r w:rsidRPr="00F82F3E">
        <w:rPr>
          <w:rFonts w:ascii="Arial" w:hAnsi="Arial" w:cs="Arial"/>
          <w:b/>
          <w:bCs/>
          <w:iCs/>
          <w:u w:val="single"/>
        </w:rPr>
        <w:t>flexible fixed term tenanc</w:t>
      </w:r>
      <w:r w:rsidR="001C4BAB">
        <w:rPr>
          <w:rFonts w:ascii="Arial" w:hAnsi="Arial" w:cs="Arial"/>
          <w:b/>
          <w:bCs/>
          <w:iCs/>
          <w:u w:val="single"/>
        </w:rPr>
        <w:t>ies</w:t>
      </w:r>
    </w:p>
    <w:p w14:paraId="05934929" w14:textId="77777777" w:rsidR="009F577A" w:rsidRDefault="009F577A" w:rsidP="009F577A">
      <w:pPr>
        <w:ind w:right="-874"/>
        <w:rPr>
          <w:rFonts w:ascii="Arial" w:hAnsi="Arial" w:cs="Arial"/>
          <w:iCs/>
          <w:u w:val="single"/>
        </w:rPr>
      </w:pPr>
    </w:p>
    <w:p w14:paraId="7E6A5C2B" w14:textId="3A47FB79" w:rsidR="00400D01" w:rsidRPr="00767343" w:rsidRDefault="00400D01" w:rsidP="009F577A">
      <w:pPr>
        <w:ind w:right="-874"/>
        <w:rPr>
          <w:rFonts w:ascii="Arial" w:hAnsi="Arial" w:cs="Arial"/>
          <w:bCs/>
          <w:u w:val="single"/>
        </w:rPr>
      </w:pPr>
      <w:r w:rsidRPr="00767343">
        <w:rPr>
          <w:rFonts w:ascii="Arial" w:hAnsi="Arial" w:cs="Arial"/>
          <w:bCs/>
          <w:u w:val="single"/>
        </w:rPr>
        <w:t xml:space="preserve">Surrendering a flexible fixed term tenancy </w:t>
      </w:r>
      <w:r w:rsidR="00D257D9">
        <w:rPr>
          <w:rFonts w:ascii="Arial" w:hAnsi="Arial" w:cs="Arial"/>
          <w:bCs/>
          <w:u w:val="single"/>
        </w:rPr>
        <w:t>and</w:t>
      </w:r>
      <w:r w:rsidR="00D257D9" w:rsidRPr="00767343">
        <w:rPr>
          <w:rFonts w:ascii="Arial" w:hAnsi="Arial" w:cs="Arial"/>
          <w:bCs/>
          <w:u w:val="single"/>
        </w:rPr>
        <w:t xml:space="preserve"> </w:t>
      </w:r>
      <w:r w:rsidRPr="00767343">
        <w:rPr>
          <w:rFonts w:ascii="Arial" w:hAnsi="Arial" w:cs="Arial"/>
          <w:bCs/>
          <w:u w:val="single"/>
        </w:rPr>
        <w:t xml:space="preserve">re-grant </w:t>
      </w:r>
      <w:r w:rsidR="00D257D9">
        <w:rPr>
          <w:rFonts w:ascii="Arial" w:hAnsi="Arial" w:cs="Arial"/>
          <w:bCs/>
          <w:u w:val="single"/>
        </w:rPr>
        <w:t xml:space="preserve">of </w:t>
      </w:r>
      <w:r w:rsidRPr="00767343">
        <w:rPr>
          <w:rFonts w:ascii="Arial" w:hAnsi="Arial" w:cs="Arial"/>
          <w:bCs/>
          <w:u w:val="single"/>
        </w:rPr>
        <w:t xml:space="preserve">a </w:t>
      </w:r>
      <w:r w:rsidR="00F95A79" w:rsidRPr="00767343">
        <w:rPr>
          <w:rFonts w:ascii="Arial" w:hAnsi="Arial" w:cs="Arial"/>
          <w:bCs/>
          <w:u w:val="single"/>
        </w:rPr>
        <w:t>secure periodic tenancy</w:t>
      </w:r>
    </w:p>
    <w:p w14:paraId="515ED941" w14:textId="77777777" w:rsidR="00041716" w:rsidRDefault="00041716" w:rsidP="00585001">
      <w:pPr>
        <w:rPr>
          <w:rFonts w:ascii="Arial" w:hAnsi="Arial" w:cs="Arial"/>
          <w:iCs/>
          <w:u w:val="single"/>
        </w:rPr>
      </w:pPr>
    </w:p>
    <w:p w14:paraId="3EC1615D" w14:textId="77777777" w:rsidR="009F577A" w:rsidRDefault="009F577A" w:rsidP="00585001">
      <w:pPr>
        <w:rPr>
          <w:rFonts w:ascii="Arial" w:hAnsi="Arial" w:cs="Arial"/>
          <w:iCs/>
          <w:u w:val="single"/>
        </w:rPr>
      </w:pPr>
    </w:p>
    <w:p w14:paraId="1BC102F5" w14:textId="77777777" w:rsidR="00041716" w:rsidRDefault="00041716" w:rsidP="00585001">
      <w:pPr>
        <w:rPr>
          <w:rFonts w:ascii="Arial" w:hAnsi="Arial" w:cs="Arial"/>
          <w:iCs/>
          <w:u w:val="single"/>
        </w:rPr>
      </w:pPr>
    </w:p>
    <w:p w14:paraId="569B2022" w14:textId="1D0266BE" w:rsidR="00AB31CC" w:rsidRDefault="00AB31CC" w:rsidP="00AB31CC">
      <w:pPr>
        <w:numPr>
          <w:ilvl w:val="0"/>
          <w:numId w:val="17"/>
        </w:numPr>
        <w:ind w:left="0" w:right="-874"/>
        <w:rPr>
          <w:rFonts w:ascii="Arial" w:hAnsi="Arial" w:cs="Arial"/>
        </w:rPr>
      </w:pPr>
      <w:r>
        <w:rPr>
          <w:rFonts w:ascii="Arial" w:hAnsi="Arial" w:cs="Arial"/>
        </w:rPr>
        <w:lastRenderedPageBreak/>
        <w:t xml:space="preserve">From March 2013 to November 2022, the Council was offering flexible fixed term tenancies to most new tenants (where legislation allowed), and would only offer secure (lifetime) periodic tenancies in exceptional circumstances.  However, </w:t>
      </w:r>
      <w:r w:rsidR="00B17845">
        <w:rPr>
          <w:rFonts w:ascii="Arial" w:hAnsi="Arial" w:cs="Arial"/>
        </w:rPr>
        <w:t xml:space="preserve">following </w:t>
      </w:r>
      <w:r>
        <w:rPr>
          <w:rFonts w:ascii="Arial" w:hAnsi="Arial" w:cs="Arial"/>
        </w:rPr>
        <w:t>review</w:t>
      </w:r>
      <w:r w:rsidR="00B17845">
        <w:rPr>
          <w:rFonts w:ascii="Arial" w:hAnsi="Arial" w:cs="Arial"/>
        </w:rPr>
        <w:t xml:space="preserve"> of this approach</w:t>
      </w:r>
      <w:r>
        <w:rPr>
          <w:rFonts w:ascii="Arial" w:hAnsi="Arial" w:cs="Arial"/>
        </w:rPr>
        <w:t xml:space="preserve">, the Council believes (as set out in paragraphs </w:t>
      </w:r>
      <w:r w:rsidR="00D3603F">
        <w:rPr>
          <w:rFonts w:ascii="Arial" w:hAnsi="Arial" w:cs="Arial"/>
        </w:rPr>
        <w:t>8</w:t>
      </w:r>
      <w:r>
        <w:rPr>
          <w:rFonts w:ascii="Arial" w:hAnsi="Arial" w:cs="Arial"/>
        </w:rPr>
        <w:t xml:space="preserve"> to </w:t>
      </w:r>
      <w:r w:rsidR="00D3603F">
        <w:rPr>
          <w:rFonts w:ascii="Arial" w:hAnsi="Arial" w:cs="Arial"/>
        </w:rPr>
        <w:t>9</w:t>
      </w:r>
      <w:r>
        <w:rPr>
          <w:rFonts w:ascii="Arial" w:hAnsi="Arial" w:cs="Arial"/>
        </w:rPr>
        <w:t xml:space="preserve">) that the use of secure periodic tenancies offers the best level of security to tenants in most instances, while the use of flexible fixed term tenancies </w:t>
      </w:r>
      <w:r w:rsidR="00D257D9">
        <w:rPr>
          <w:rFonts w:ascii="Arial" w:hAnsi="Arial" w:cs="Arial"/>
        </w:rPr>
        <w:t xml:space="preserve">is </w:t>
      </w:r>
      <w:r>
        <w:rPr>
          <w:rFonts w:ascii="Arial" w:hAnsi="Arial" w:cs="Arial"/>
        </w:rPr>
        <w:t>appropriate in certain circumstances, as outlined in paragraph</w:t>
      </w:r>
      <w:r w:rsidR="004D3383">
        <w:rPr>
          <w:rFonts w:ascii="Arial" w:hAnsi="Arial" w:cs="Arial"/>
        </w:rPr>
        <w:t>s</w:t>
      </w:r>
      <w:r>
        <w:rPr>
          <w:rFonts w:ascii="Arial" w:hAnsi="Arial" w:cs="Arial"/>
        </w:rPr>
        <w:t xml:space="preserve"> 10</w:t>
      </w:r>
      <w:r w:rsidR="004D3383">
        <w:rPr>
          <w:rFonts w:ascii="Arial" w:hAnsi="Arial" w:cs="Arial"/>
        </w:rPr>
        <w:t xml:space="preserve"> to 11</w:t>
      </w:r>
      <w:r>
        <w:rPr>
          <w:rFonts w:ascii="Arial" w:hAnsi="Arial" w:cs="Arial"/>
        </w:rPr>
        <w:t>.</w:t>
      </w:r>
    </w:p>
    <w:p w14:paraId="182C9BDC" w14:textId="77777777" w:rsidR="00AB31CC" w:rsidRDefault="00AB31CC" w:rsidP="00AB31CC">
      <w:pPr>
        <w:ind w:right="-874"/>
        <w:rPr>
          <w:rFonts w:ascii="Arial" w:hAnsi="Arial" w:cs="Arial"/>
        </w:rPr>
      </w:pPr>
    </w:p>
    <w:p w14:paraId="026402CB" w14:textId="4C9C516B" w:rsidR="009A4309" w:rsidRPr="00934842" w:rsidRDefault="00AB31CC" w:rsidP="001212C7">
      <w:pPr>
        <w:numPr>
          <w:ilvl w:val="0"/>
          <w:numId w:val="17"/>
        </w:numPr>
        <w:ind w:left="0" w:right="-874"/>
        <w:rPr>
          <w:rFonts w:ascii="Arial" w:hAnsi="Arial" w:cs="Arial"/>
          <w:i/>
          <w:u w:val="single"/>
        </w:rPr>
      </w:pPr>
      <w:r>
        <w:rPr>
          <w:rFonts w:ascii="Arial" w:hAnsi="Arial" w:cs="Arial"/>
        </w:rPr>
        <w:t xml:space="preserve">Therefore, the Council </w:t>
      </w:r>
      <w:r w:rsidR="007F5BFE">
        <w:rPr>
          <w:rFonts w:ascii="Arial" w:hAnsi="Arial" w:cs="Arial"/>
        </w:rPr>
        <w:t xml:space="preserve">would encourage all registered providers of social housing to </w:t>
      </w:r>
      <w:r>
        <w:rPr>
          <w:rFonts w:ascii="Arial" w:hAnsi="Arial" w:cs="Arial"/>
        </w:rPr>
        <w:t>offer a secure periodic tenancy to current tenants on flexible fixed term tenancies</w:t>
      </w:r>
      <w:r w:rsidR="002A3F88">
        <w:rPr>
          <w:rFonts w:ascii="Arial" w:hAnsi="Arial" w:cs="Arial"/>
        </w:rPr>
        <w:t xml:space="preserve">. </w:t>
      </w:r>
      <w:r w:rsidR="001212C7">
        <w:rPr>
          <w:rFonts w:ascii="Arial" w:hAnsi="Arial" w:cs="Arial"/>
        </w:rPr>
        <w:t xml:space="preserve"> In deciding</w:t>
      </w:r>
      <w:r w:rsidR="00D257D9">
        <w:rPr>
          <w:rFonts w:ascii="Arial" w:hAnsi="Arial" w:cs="Arial"/>
        </w:rPr>
        <w:t xml:space="preserve"> whether</w:t>
      </w:r>
      <w:r w:rsidR="001212C7">
        <w:rPr>
          <w:rFonts w:ascii="Arial" w:hAnsi="Arial" w:cs="Arial"/>
        </w:rPr>
        <w:t xml:space="preserve"> to do so, the registered provider should consider the tenant</w:t>
      </w:r>
      <w:r w:rsidR="00FC01F3">
        <w:rPr>
          <w:rFonts w:ascii="Arial" w:hAnsi="Arial" w:cs="Arial"/>
        </w:rPr>
        <w:t>/</w:t>
      </w:r>
      <w:r w:rsidR="001212C7">
        <w:rPr>
          <w:rFonts w:ascii="Arial" w:hAnsi="Arial" w:cs="Arial"/>
        </w:rPr>
        <w:t>s’ conduct during their tenancy, any outstanding arrears</w:t>
      </w:r>
      <w:r w:rsidR="00FD21C0">
        <w:rPr>
          <w:rFonts w:ascii="Arial" w:hAnsi="Arial" w:cs="Arial"/>
        </w:rPr>
        <w:t xml:space="preserve"> and action being taken in respect of </w:t>
      </w:r>
      <w:r w:rsidR="00035424">
        <w:rPr>
          <w:rFonts w:ascii="Arial" w:hAnsi="Arial" w:cs="Arial"/>
        </w:rPr>
        <w:t>any breaches of tenancy conditions</w:t>
      </w:r>
      <w:r w:rsidR="001212C7">
        <w:rPr>
          <w:rFonts w:ascii="Arial" w:hAnsi="Arial" w:cs="Arial"/>
        </w:rPr>
        <w:t xml:space="preserve">, and the most appropriate approach </w:t>
      </w:r>
      <w:r w:rsidR="00461639">
        <w:rPr>
          <w:rFonts w:ascii="Arial" w:hAnsi="Arial" w:cs="Arial"/>
        </w:rPr>
        <w:t>for</w:t>
      </w:r>
      <w:r w:rsidR="001212C7">
        <w:rPr>
          <w:rFonts w:ascii="Arial" w:hAnsi="Arial" w:cs="Arial"/>
        </w:rPr>
        <w:t xml:space="preserve"> converting existing </w:t>
      </w:r>
      <w:r w:rsidR="000D0CC0">
        <w:rPr>
          <w:rFonts w:ascii="Arial" w:hAnsi="Arial" w:cs="Arial"/>
        </w:rPr>
        <w:t>flexible fixed term tenancies</w:t>
      </w:r>
      <w:r w:rsidR="001212C7">
        <w:rPr>
          <w:rFonts w:ascii="Arial" w:hAnsi="Arial" w:cs="Arial"/>
        </w:rPr>
        <w:t xml:space="preserve"> to secure periodic tenancies</w:t>
      </w:r>
      <w:r w:rsidR="000D0CC0">
        <w:rPr>
          <w:rFonts w:ascii="Arial" w:hAnsi="Arial" w:cs="Arial"/>
        </w:rPr>
        <w:t>, for example by surrender and grant</w:t>
      </w:r>
      <w:r w:rsidR="001212C7">
        <w:rPr>
          <w:rFonts w:ascii="Arial" w:hAnsi="Arial" w:cs="Arial"/>
        </w:rPr>
        <w:t xml:space="preserve">. </w:t>
      </w:r>
    </w:p>
    <w:p w14:paraId="51CBDE3E" w14:textId="77777777" w:rsidR="001212C7" w:rsidRDefault="001212C7" w:rsidP="00585001">
      <w:pPr>
        <w:rPr>
          <w:rFonts w:ascii="Arial" w:hAnsi="Arial" w:cs="Arial"/>
          <w:b/>
          <w:bCs/>
          <w:u w:val="single"/>
        </w:rPr>
      </w:pPr>
    </w:p>
    <w:p w14:paraId="1519C8B8" w14:textId="77777777" w:rsidR="00B72DD0" w:rsidRPr="00E04D80" w:rsidRDefault="00B72DD0" w:rsidP="00585001">
      <w:pPr>
        <w:rPr>
          <w:rFonts w:ascii="Arial" w:hAnsi="Arial" w:cs="Arial"/>
          <w:b/>
          <w:bCs/>
          <w:u w:val="single"/>
        </w:rPr>
      </w:pPr>
      <w:r w:rsidRPr="00E04D80">
        <w:rPr>
          <w:rFonts w:ascii="Arial" w:hAnsi="Arial" w:cs="Arial"/>
          <w:b/>
          <w:bCs/>
          <w:u w:val="single"/>
        </w:rPr>
        <w:t>General needs</w:t>
      </w:r>
      <w:r w:rsidR="000F7138" w:rsidRPr="00E04D80">
        <w:rPr>
          <w:rFonts w:ascii="Arial" w:hAnsi="Arial" w:cs="Arial"/>
          <w:b/>
          <w:bCs/>
          <w:u w:val="single"/>
        </w:rPr>
        <w:t xml:space="preserve"> and sheltered</w:t>
      </w:r>
      <w:r w:rsidRPr="00E04D80">
        <w:rPr>
          <w:rFonts w:ascii="Arial" w:hAnsi="Arial" w:cs="Arial"/>
          <w:b/>
          <w:bCs/>
          <w:u w:val="single"/>
        </w:rPr>
        <w:t xml:space="preserve"> housing</w:t>
      </w:r>
    </w:p>
    <w:p w14:paraId="1935FD4F" w14:textId="77777777" w:rsidR="00B72DD0" w:rsidRPr="00934842" w:rsidRDefault="00B72DD0" w:rsidP="00585001">
      <w:pPr>
        <w:rPr>
          <w:rFonts w:ascii="Arial" w:hAnsi="Arial" w:cs="Arial"/>
          <w:u w:val="single"/>
        </w:rPr>
      </w:pPr>
    </w:p>
    <w:p w14:paraId="47437798" w14:textId="77777777" w:rsidR="000F7138" w:rsidRPr="00AA7FF1" w:rsidRDefault="000F7138" w:rsidP="00585001">
      <w:pPr>
        <w:pStyle w:val="ListParagraph"/>
        <w:numPr>
          <w:ilvl w:val="0"/>
          <w:numId w:val="17"/>
        </w:numPr>
        <w:ind w:left="0"/>
        <w:rPr>
          <w:rFonts w:ascii="Arial" w:hAnsi="Arial" w:cs="Arial"/>
        </w:rPr>
      </w:pPr>
      <w:r w:rsidRPr="00AA7FF1">
        <w:rPr>
          <w:rFonts w:ascii="Arial" w:hAnsi="Arial" w:cs="Arial"/>
        </w:rPr>
        <w:t xml:space="preserve">The Council offers two mainstream types of social housing, </w:t>
      </w:r>
      <w:r w:rsidR="00945A9B" w:rsidRPr="00AA7FF1">
        <w:rPr>
          <w:rFonts w:ascii="Arial" w:hAnsi="Arial" w:cs="Arial"/>
        </w:rPr>
        <w:t>the first being</w:t>
      </w:r>
      <w:r w:rsidRPr="00AA7FF1">
        <w:rPr>
          <w:rFonts w:ascii="Arial" w:hAnsi="Arial" w:cs="Arial"/>
        </w:rPr>
        <w:t xml:space="preserve"> general needs housing, which </w:t>
      </w:r>
      <w:r w:rsidR="00246452" w:rsidRPr="00AA7FF1">
        <w:rPr>
          <w:rFonts w:ascii="Arial" w:hAnsi="Arial" w:cs="Arial"/>
        </w:rPr>
        <w:t>include</w:t>
      </w:r>
      <w:r w:rsidR="00D73A70">
        <w:rPr>
          <w:rFonts w:ascii="Arial" w:hAnsi="Arial" w:cs="Arial"/>
        </w:rPr>
        <w:t>s</w:t>
      </w:r>
      <w:r w:rsidR="00246452" w:rsidRPr="00AA7FF1">
        <w:rPr>
          <w:rFonts w:ascii="Arial" w:hAnsi="Arial" w:cs="Arial"/>
        </w:rPr>
        <w:t xml:space="preserve"> the majority of the </w:t>
      </w:r>
      <w:r w:rsidR="007D73BE">
        <w:rPr>
          <w:rFonts w:ascii="Arial" w:hAnsi="Arial" w:cs="Arial"/>
        </w:rPr>
        <w:t xml:space="preserve">Council’s </w:t>
      </w:r>
      <w:r w:rsidR="00246452" w:rsidRPr="00AA7FF1">
        <w:rPr>
          <w:rFonts w:ascii="Arial" w:hAnsi="Arial" w:cs="Arial"/>
        </w:rPr>
        <w:t xml:space="preserve">social housing stock.  </w:t>
      </w:r>
      <w:r w:rsidR="00945A9B" w:rsidRPr="00AA7FF1">
        <w:rPr>
          <w:rFonts w:ascii="Arial" w:hAnsi="Arial" w:cs="Arial"/>
        </w:rPr>
        <w:t>The Council also offer</w:t>
      </w:r>
      <w:r w:rsidR="00AA7FF1" w:rsidRPr="00AA7FF1">
        <w:rPr>
          <w:rFonts w:ascii="Arial" w:hAnsi="Arial" w:cs="Arial"/>
        </w:rPr>
        <w:t>s</w:t>
      </w:r>
      <w:r w:rsidR="00945A9B" w:rsidRPr="00AA7FF1">
        <w:rPr>
          <w:rFonts w:ascii="Arial" w:hAnsi="Arial" w:cs="Arial"/>
        </w:rPr>
        <w:t xml:space="preserve"> sheltered housing as an option for residents aged 55+</w:t>
      </w:r>
      <w:r w:rsidR="00AA7FF1" w:rsidRPr="00AA7FF1">
        <w:rPr>
          <w:rFonts w:ascii="Arial" w:hAnsi="Arial" w:cs="Arial"/>
        </w:rPr>
        <w:t>.</w:t>
      </w:r>
    </w:p>
    <w:p w14:paraId="024FEF65" w14:textId="77777777" w:rsidR="000F7138" w:rsidRPr="000F7138" w:rsidRDefault="000F7138" w:rsidP="00585001">
      <w:pPr>
        <w:pStyle w:val="ListParagraph"/>
        <w:ind w:left="0"/>
        <w:rPr>
          <w:rFonts w:ascii="Arial" w:hAnsi="Arial" w:cs="Arial"/>
          <w:u w:val="single"/>
        </w:rPr>
      </w:pPr>
    </w:p>
    <w:p w14:paraId="4F9F9BC1" w14:textId="77777777" w:rsidR="00EA23FC" w:rsidRPr="00133E31" w:rsidRDefault="00B72DD0" w:rsidP="00226D73">
      <w:pPr>
        <w:pStyle w:val="ListParagraph"/>
        <w:numPr>
          <w:ilvl w:val="0"/>
          <w:numId w:val="17"/>
        </w:numPr>
        <w:ind w:left="0"/>
        <w:rPr>
          <w:rFonts w:ascii="Arial" w:hAnsi="Arial" w:cs="Arial"/>
          <w:u w:val="single"/>
        </w:rPr>
      </w:pPr>
      <w:r w:rsidRPr="00934842">
        <w:rPr>
          <w:rFonts w:ascii="Arial" w:hAnsi="Arial" w:cs="Arial"/>
        </w:rPr>
        <w:t>The Council</w:t>
      </w:r>
      <w:r w:rsidR="008A01B3">
        <w:rPr>
          <w:rFonts w:ascii="Arial" w:hAnsi="Arial" w:cs="Arial"/>
        </w:rPr>
        <w:t>s</w:t>
      </w:r>
      <w:r w:rsidRPr="00934842">
        <w:rPr>
          <w:rFonts w:ascii="Arial" w:hAnsi="Arial" w:cs="Arial"/>
        </w:rPr>
        <w:t xml:space="preserve"> supports the use of </w:t>
      </w:r>
      <w:r w:rsidR="00F84127">
        <w:rPr>
          <w:rFonts w:ascii="Arial" w:hAnsi="Arial" w:cs="Arial"/>
        </w:rPr>
        <w:t>secure periodic</w:t>
      </w:r>
      <w:r w:rsidR="00183AF9">
        <w:rPr>
          <w:rFonts w:ascii="Arial" w:hAnsi="Arial" w:cs="Arial"/>
        </w:rPr>
        <w:t xml:space="preserve"> </w:t>
      </w:r>
      <w:r w:rsidR="009D06FB">
        <w:rPr>
          <w:rFonts w:ascii="Arial" w:hAnsi="Arial" w:cs="Arial"/>
        </w:rPr>
        <w:t xml:space="preserve">/ assured </w:t>
      </w:r>
      <w:r w:rsidR="00183AF9">
        <w:rPr>
          <w:rFonts w:ascii="Arial" w:hAnsi="Arial" w:cs="Arial"/>
        </w:rPr>
        <w:t xml:space="preserve">tenancies (preceded by a 12-month introductory tenancy where legislation </w:t>
      </w:r>
      <w:r w:rsidR="00857643">
        <w:rPr>
          <w:rFonts w:ascii="Arial" w:hAnsi="Arial" w:cs="Arial"/>
        </w:rPr>
        <w:t>allow</w:t>
      </w:r>
      <w:r w:rsidR="002E3BDF">
        <w:rPr>
          <w:rFonts w:ascii="Arial" w:hAnsi="Arial" w:cs="Arial"/>
        </w:rPr>
        <w:t>s</w:t>
      </w:r>
      <w:r w:rsidR="00183AF9">
        <w:rPr>
          <w:rFonts w:ascii="Arial" w:hAnsi="Arial" w:cs="Arial"/>
        </w:rPr>
        <w:t>)</w:t>
      </w:r>
      <w:r w:rsidR="0090799C">
        <w:rPr>
          <w:rFonts w:ascii="Arial" w:hAnsi="Arial" w:cs="Arial"/>
        </w:rPr>
        <w:t xml:space="preserve"> for both general needs and sheltered housing</w:t>
      </w:r>
      <w:r w:rsidR="00FB5212">
        <w:rPr>
          <w:rFonts w:ascii="Arial" w:hAnsi="Arial" w:cs="Arial"/>
        </w:rPr>
        <w:t xml:space="preserve"> for all tenants</w:t>
      </w:r>
      <w:r w:rsidR="00C04849">
        <w:rPr>
          <w:rFonts w:ascii="Arial" w:hAnsi="Arial" w:cs="Arial"/>
        </w:rPr>
        <w:t xml:space="preserve">, and supports the use of fixed term tenancies </w:t>
      </w:r>
      <w:r w:rsidR="009D6892">
        <w:rPr>
          <w:rFonts w:ascii="Arial" w:hAnsi="Arial" w:cs="Arial"/>
        </w:rPr>
        <w:t xml:space="preserve">(for general needs housing only) </w:t>
      </w:r>
      <w:r w:rsidR="009F3F8B">
        <w:rPr>
          <w:rFonts w:ascii="Arial" w:hAnsi="Arial" w:cs="Arial"/>
        </w:rPr>
        <w:t>in exceptional circumstances as outlined in the Wandsworth Council Tenancy Policy, para</w:t>
      </w:r>
      <w:r w:rsidR="001E269A">
        <w:rPr>
          <w:rFonts w:ascii="Arial" w:hAnsi="Arial" w:cs="Arial"/>
        </w:rPr>
        <w:t>graphs</w:t>
      </w:r>
      <w:r w:rsidR="00C85C05">
        <w:rPr>
          <w:rFonts w:ascii="Arial" w:hAnsi="Arial" w:cs="Arial"/>
        </w:rPr>
        <w:t xml:space="preserve"> 9 to 14</w:t>
      </w:r>
      <w:r w:rsidRPr="00934842">
        <w:rPr>
          <w:rFonts w:ascii="Arial" w:hAnsi="Arial" w:cs="Arial"/>
        </w:rPr>
        <w:t xml:space="preserve">. </w:t>
      </w:r>
      <w:r w:rsidR="0090799C">
        <w:rPr>
          <w:rFonts w:ascii="Arial" w:hAnsi="Arial" w:cs="Arial"/>
        </w:rPr>
        <w:t xml:space="preserve"> The Council believes the </w:t>
      </w:r>
      <w:r w:rsidRPr="00934842">
        <w:rPr>
          <w:rFonts w:ascii="Arial" w:hAnsi="Arial" w:cs="Arial"/>
        </w:rPr>
        <w:t xml:space="preserve">use of </w:t>
      </w:r>
      <w:r w:rsidR="002E3BDF">
        <w:rPr>
          <w:rFonts w:ascii="Arial" w:hAnsi="Arial" w:cs="Arial"/>
        </w:rPr>
        <w:t>secure</w:t>
      </w:r>
      <w:r w:rsidR="008657E4">
        <w:rPr>
          <w:rFonts w:ascii="Arial" w:hAnsi="Arial" w:cs="Arial"/>
        </w:rPr>
        <w:t xml:space="preserve"> periodic </w:t>
      </w:r>
      <w:r w:rsidR="002E4CD1">
        <w:rPr>
          <w:rFonts w:ascii="Arial" w:hAnsi="Arial" w:cs="Arial"/>
        </w:rPr>
        <w:t xml:space="preserve">/ assured </w:t>
      </w:r>
      <w:r w:rsidR="008657E4">
        <w:rPr>
          <w:rFonts w:ascii="Arial" w:hAnsi="Arial" w:cs="Arial"/>
        </w:rPr>
        <w:t xml:space="preserve">tenancies provides </w:t>
      </w:r>
      <w:r w:rsidR="00990747">
        <w:rPr>
          <w:rFonts w:ascii="Arial" w:hAnsi="Arial" w:cs="Arial"/>
        </w:rPr>
        <w:t xml:space="preserve">its </w:t>
      </w:r>
      <w:r w:rsidR="008657E4">
        <w:rPr>
          <w:rFonts w:ascii="Arial" w:hAnsi="Arial" w:cs="Arial"/>
        </w:rPr>
        <w:t xml:space="preserve">tenants with greater long-term </w:t>
      </w:r>
      <w:r w:rsidR="002E3BDF">
        <w:rPr>
          <w:rFonts w:ascii="Arial" w:hAnsi="Arial" w:cs="Arial"/>
        </w:rPr>
        <w:t xml:space="preserve">housing </w:t>
      </w:r>
      <w:r w:rsidR="008657E4">
        <w:rPr>
          <w:rFonts w:ascii="Arial" w:hAnsi="Arial" w:cs="Arial"/>
        </w:rPr>
        <w:t xml:space="preserve">security </w:t>
      </w:r>
      <w:r w:rsidR="004F0D4B">
        <w:rPr>
          <w:rFonts w:ascii="Arial" w:hAnsi="Arial" w:cs="Arial"/>
        </w:rPr>
        <w:t xml:space="preserve">and </w:t>
      </w:r>
      <w:r w:rsidR="00B66612">
        <w:rPr>
          <w:rFonts w:ascii="Arial" w:hAnsi="Arial" w:cs="Arial"/>
        </w:rPr>
        <w:t>enables</w:t>
      </w:r>
      <w:r w:rsidR="009904F4">
        <w:rPr>
          <w:rFonts w:ascii="Arial" w:hAnsi="Arial" w:cs="Arial"/>
        </w:rPr>
        <w:t xml:space="preserve"> registered providers of</w:t>
      </w:r>
      <w:r w:rsidR="00B66612">
        <w:rPr>
          <w:rFonts w:ascii="Arial" w:hAnsi="Arial" w:cs="Arial"/>
        </w:rPr>
        <w:t xml:space="preserve"> </w:t>
      </w:r>
      <w:r w:rsidR="009D06FB">
        <w:rPr>
          <w:rFonts w:ascii="Arial" w:hAnsi="Arial" w:cs="Arial"/>
        </w:rPr>
        <w:t xml:space="preserve">social housing </w:t>
      </w:r>
      <w:r w:rsidR="008657E4">
        <w:rPr>
          <w:rFonts w:ascii="Arial" w:hAnsi="Arial" w:cs="Arial"/>
        </w:rPr>
        <w:t>to manag</w:t>
      </w:r>
      <w:r w:rsidR="0026023C">
        <w:rPr>
          <w:rFonts w:ascii="Arial" w:hAnsi="Arial" w:cs="Arial"/>
        </w:rPr>
        <w:t>e</w:t>
      </w:r>
      <w:r w:rsidR="008657E4">
        <w:rPr>
          <w:rFonts w:ascii="Arial" w:hAnsi="Arial" w:cs="Arial"/>
        </w:rPr>
        <w:t xml:space="preserve"> </w:t>
      </w:r>
      <w:r w:rsidR="007F63E2">
        <w:rPr>
          <w:rFonts w:ascii="Arial" w:hAnsi="Arial" w:cs="Arial"/>
        </w:rPr>
        <w:t>their</w:t>
      </w:r>
      <w:r w:rsidR="008657E4">
        <w:rPr>
          <w:rFonts w:ascii="Arial" w:hAnsi="Arial" w:cs="Arial"/>
        </w:rPr>
        <w:t xml:space="preserve"> </w:t>
      </w:r>
      <w:r w:rsidR="002E3BDF">
        <w:rPr>
          <w:rFonts w:ascii="Arial" w:hAnsi="Arial" w:cs="Arial"/>
        </w:rPr>
        <w:t>stock</w:t>
      </w:r>
      <w:r w:rsidR="007F63E2">
        <w:rPr>
          <w:rFonts w:ascii="Arial" w:hAnsi="Arial" w:cs="Arial"/>
        </w:rPr>
        <w:t xml:space="preserve"> and tenants</w:t>
      </w:r>
      <w:r w:rsidR="002E3BDF">
        <w:rPr>
          <w:rFonts w:ascii="Arial" w:hAnsi="Arial" w:cs="Arial"/>
        </w:rPr>
        <w:t xml:space="preserve"> effectively</w:t>
      </w:r>
      <w:r w:rsidR="00B66612">
        <w:rPr>
          <w:rFonts w:ascii="Arial" w:hAnsi="Arial" w:cs="Arial"/>
        </w:rPr>
        <w:t xml:space="preserve">.  </w:t>
      </w:r>
      <w:r w:rsidR="006A4B9F">
        <w:rPr>
          <w:rFonts w:ascii="Arial" w:hAnsi="Arial" w:cs="Arial"/>
        </w:rPr>
        <w:t>T</w:t>
      </w:r>
      <w:r w:rsidR="00B66612">
        <w:rPr>
          <w:rFonts w:ascii="Arial" w:hAnsi="Arial" w:cs="Arial"/>
        </w:rPr>
        <w:t xml:space="preserve">he Council </w:t>
      </w:r>
      <w:r w:rsidR="006A4B9F">
        <w:rPr>
          <w:rFonts w:ascii="Arial" w:hAnsi="Arial" w:cs="Arial"/>
        </w:rPr>
        <w:t xml:space="preserve">thus </w:t>
      </w:r>
      <w:r w:rsidR="00C47FC6">
        <w:rPr>
          <w:rFonts w:ascii="Arial" w:hAnsi="Arial" w:cs="Arial"/>
        </w:rPr>
        <w:t>encourage</w:t>
      </w:r>
      <w:r w:rsidR="00B66612">
        <w:rPr>
          <w:rFonts w:ascii="Arial" w:hAnsi="Arial" w:cs="Arial"/>
        </w:rPr>
        <w:t>s</w:t>
      </w:r>
      <w:r w:rsidR="00C47FC6">
        <w:rPr>
          <w:rFonts w:ascii="Arial" w:hAnsi="Arial" w:cs="Arial"/>
        </w:rPr>
        <w:t xml:space="preserve"> all registered providers of social housing in Wandsworth to use secure periodic</w:t>
      </w:r>
      <w:r w:rsidR="00A86F7A">
        <w:rPr>
          <w:rFonts w:ascii="Arial" w:hAnsi="Arial" w:cs="Arial"/>
        </w:rPr>
        <w:t xml:space="preserve"> / assured</w:t>
      </w:r>
      <w:r w:rsidR="00C47FC6">
        <w:rPr>
          <w:rFonts w:ascii="Arial" w:hAnsi="Arial" w:cs="Arial"/>
        </w:rPr>
        <w:t xml:space="preserve"> tenancies (preceded by a 12-month introductory tenancy where legislation allows)</w:t>
      </w:r>
      <w:r w:rsidR="009904F4">
        <w:rPr>
          <w:rFonts w:ascii="Arial" w:hAnsi="Arial" w:cs="Arial"/>
        </w:rPr>
        <w:t xml:space="preserve"> in most instances for all general needs housing, and to use secure periodic </w:t>
      </w:r>
      <w:r w:rsidR="00CA2897">
        <w:rPr>
          <w:rFonts w:ascii="Arial" w:hAnsi="Arial" w:cs="Arial"/>
        </w:rPr>
        <w:t>/ assured tenancies in all instances for sheltered housing</w:t>
      </w:r>
      <w:r w:rsidR="002E3BDF">
        <w:rPr>
          <w:rFonts w:ascii="Arial" w:hAnsi="Arial" w:cs="Arial"/>
        </w:rPr>
        <w:t>.</w:t>
      </w:r>
    </w:p>
    <w:p w14:paraId="39271F72" w14:textId="77777777" w:rsidR="00E424BB" w:rsidRPr="00E424BB" w:rsidRDefault="00E424BB" w:rsidP="00585001">
      <w:pPr>
        <w:pStyle w:val="ListParagraph"/>
        <w:ind w:left="0"/>
        <w:rPr>
          <w:rFonts w:ascii="Arial" w:hAnsi="Arial" w:cs="Arial"/>
        </w:rPr>
      </w:pPr>
    </w:p>
    <w:p w14:paraId="2CEE2B36" w14:textId="77777777" w:rsidR="00E424BB" w:rsidRPr="00D5774E" w:rsidRDefault="004241E1" w:rsidP="00585001">
      <w:pPr>
        <w:pStyle w:val="ListParagraph"/>
        <w:numPr>
          <w:ilvl w:val="0"/>
          <w:numId w:val="17"/>
        </w:numPr>
        <w:ind w:left="0"/>
        <w:rPr>
          <w:rFonts w:ascii="Arial" w:hAnsi="Arial" w:cs="Arial"/>
          <w:u w:val="single"/>
        </w:rPr>
      </w:pPr>
      <w:r>
        <w:rPr>
          <w:rFonts w:ascii="Arial" w:hAnsi="Arial" w:cs="Arial"/>
        </w:rPr>
        <w:t>The majority of social housing offers made within the Wandsworth borough are made via the Council’s housing register, which is shared with all r</w:t>
      </w:r>
      <w:r w:rsidR="00C47FC6">
        <w:rPr>
          <w:rFonts w:ascii="Arial" w:hAnsi="Arial" w:cs="Arial"/>
        </w:rPr>
        <w:t>egistered providers of social housing in Wandsworth</w:t>
      </w:r>
      <w:r>
        <w:rPr>
          <w:rFonts w:ascii="Arial" w:hAnsi="Arial" w:cs="Arial"/>
        </w:rPr>
        <w:t xml:space="preserve">.  Therefore, for all existing social housing tenants who </w:t>
      </w:r>
      <w:r w:rsidR="00E424BB" w:rsidRPr="00E424BB">
        <w:rPr>
          <w:rFonts w:ascii="Arial" w:hAnsi="Arial" w:cs="Arial"/>
        </w:rPr>
        <w:t xml:space="preserve">are offered a </w:t>
      </w:r>
      <w:r w:rsidR="00646933">
        <w:rPr>
          <w:rFonts w:ascii="Arial" w:hAnsi="Arial" w:cs="Arial"/>
        </w:rPr>
        <w:t>new</w:t>
      </w:r>
      <w:r w:rsidR="00B62D6D">
        <w:rPr>
          <w:rFonts w:ascii="Arial" w:hAnsi="Arial" w:cs="Arial"/>
        </w:rPr>
        <w:t xml:space="preserve"> </w:t>
      </w:r>
      <w:r w:rsidR="00E424BB" w:rsidRPr="00E424BB">
        <w:rPr>
          <w:rFonts w:ascii="Arial" w:hAnsi="Arial" w:cs="Arial"/>
        </w:rPr>
        <w:t>tenancy via the Council</w:t>
      </w:r>
      <w:r w:rsidR="00AF3977">
        <w:rPr>
          <w:rFonts w:ascii="Arial" w:hAnsi="Arial" w:cs="Arial"/>
        </w:rPr>
        <w:t>’</w:t>
      </w:r>
      <w:r w:rsidR="00E424BB" w:rsidRPr="00E424BB">
        <w:rPr>
          <w:rFonts w:ascii="Arial" w:hAnsi="Arial" w:cs="Arial"/>
        </w:rPr>
        <w:t xml:space="preserve">s </w:t>
      </w:r>
      <w:r w:rsidR="00B05586">
        <w:rPr>
          <w:rFonts w:ascii="Arial" w:hAnsi="Arial" w:cs="Arial"/>
        </w:rPr>
        <w:t>housing queue</w:t>
      </w:r>
      <w:r w:rsidR="00E424BB" w:rsidRPr="00E424BB">
        <w:rPr>
          <w:rFonts w:ascii="Arial" w:hAnsi="Arial" w:cs="Arial"/>
        </w:rPr>
        <w:t xml:space="preserve">, or via a mutual exchange, a management transfer or any other move </w:t>
      </w:r>
      <w:r>
        <w:rPr>
          <w:rFonts w:ascii="Arial" w:hAnsi="Arial" w:cs="Arial"/>
        </w:rPr>
        <w:t xml:space="preserve">within Wandsworth should </w:t>
      </w:r>
      <w:r w:rsidR="00E424BB" w:rsidRPr="00E424BB">
        <w:rPr>
          <w:rFonts w:ascii="Arial" w:hAnsi="Arial" w:cs="Arial"/>
        </w:rPr>
        <w:t xml:space="preserve">be offered an immediate secure periodic </w:t>
      </w:r>
      <w:r w:rsidR="0022405B">
        <w:rPr>
          <w:rFonts w:ascii="Arial" w:hAnsi="Arial" w:cs="Arial"/>
        </w:rPr>
        <w:t xml:space="preserve">/ assured </w:t>
      </w:r>
      <w:r w:rsidR="00E424BB" w:rsidRPr="00E424BB">
        <w:rPr>
          <w:rFonts w:ascii="Arial" w:hAnsi="Arial" w:cs="Arial"/>
        </w:rPr>
        <w:t>tenancy without the requirement to undertake a 12-month introductory tenancy</w:t>
      </w:r>
      <w:r w:rsidR="002E0840">
        <w:rPr>
          <w:rFonts w:ascii="Arial" w:hAnsi="Arial" w:cs="Arial"/>
        </w:rPr>
        <w:t xml:space="preserve">, or under exceptional circumstances a </w:t>
      </w:r>
      <w:r w:rsidR="003246E8">
        <w:rPr>
          <w:rFonts w:ascii="Arial" w:hAnsi="Arial" w:cs="Arial"/>
        </w:rPr>
        <w:t xml:space="preserve">flexible </w:t>
      </w:r>
      <w:r w:rsidR="002E0840">
        <w:rPr>
          <w:rFonts w:ascii="Arial" w:hAnsi="Arial" w:cs="Arial"/>
        </w:rPr>
        <w:t>fixed term tenancy</w:t>
      </w:r>
      <w:r w:rsidR="00E424BB" w:rsidRPr="00E424BB">
        <w:rPr>
          <w:rFonts w:ascii="Arial" w:hAnsi="Arial" w:cs="Arial"/>
        </w:rPr>
        <w:t>.</w:t>
      </w:r>
    </w:p>
    <w:p w14:paraId="47FC8571" w14:textId="77777777" w:rsidR="00956AF5" w:rsidRPr="004D28EC" w:rsidRDefault="00956AF5" w:rsidP="00585001">
      <w:pPr>
        <w:rPr>
          <w:rFonts w:ascii="Arial" w:hAnsi="Arial" w:cs="Arial"/>
        </w:rPr>
      </w:pPr>
    </w:p>
    <w:p w14:paraId="3D981D30" w14:textId="77777777" w:rsidR="00956AF5" w:rsidRPr="00FA0575" w:rsidRDefault="00956AF5" w:rsidP="00585001">
      <w:pPr>
        <w:pStyle w:val="ListParagraph"/>
        <w:ind w:left="0"/>
        <w:rPr>
          <w:rFonts w:ascii="Arial" w:hAnsi="Arial" w:cs="Arial"/>
          <w:b/>
          <w:bCs/>
          <w:color w:val="000000"/>
          <w:u w:val="single"/>
        </w:rPr>
      </w:pPr>
      <w:r w:rsidRPr="00FA0575">
        <w:rPr>
          <w:rFonts w:ascii="Arial" w:hAnsi="Arial" w:cs="Arial"/>
          <w:b/>
          <w:bCs/>
          <w:color w:val="000000"/>
          <w:u w:val="single"/>
        </w:rPr>
        <w:t>Social Rent and Affordable Rent terms</w:t>
      </w:r>
    </w:p>
    <w:p w14:paraId="0FA48BD0" w14:textId="77777777" w:rsidR="00956AF5" w:rsidRPr="00956AF5" w:rsidRDefault="00956AF5" w:rsidP="00585001">
      <w:pPr>
        <w:rPr>
          <w:rFonts w:ascii="Arial" w:hAnsi="Arial" w:cs="Arial"/>
        </w:rPr>
      </w:pPr>
    </w:p>
    <w:p w14:paraId="36946814" w14:textId="77777777" w:rsidR="00693BA2" w:rsidRPr="004B0FBF" w:rsidRDefault="00B44AB5" w:rsidP="004B0FBF">
      <w:pPr>
        <w:pStyle w:val="ListParagraph"/>
        <w:numPr>
          <w:ilvl w:val="0"/>
          <w:numId w:val="17"/>
        </w:numPr>
        <w:ind w:left="0"/>
        <w:rPr>
          <w:rFonts w:ascii="Arial" w:hAnsi="Arial" w:cs="Arial"/>
        </w:rPr>
      </w:pPr>
      <w:r>
        <w:rPr>
          <w:rFonts w:ascii="Arial" w:hAnsi="Arial" w:cs="Arial"/>
        </w:rPr>
        <w:t xml:space="preserve">Registered </w:t>
      </w:r>
      <w:r w:rsidRPr="00AA4414">
        <w:rPr>
          <w:rFonts w:ascii="Arial" w:hAnsi="Arial" w:cs="Arial"/>
        </w:rPr>
        <w:t xml:space="preserve">providers of social housing must set rents in accordance with the national Regulatory Framework for Social Housing </w:t>
      </w:r>
      <w:r w:rsidR="00A96D64">
        <w:rPr>
          <w:rFonts w:ascii="Arial" w:hAnsi="Arial" w:cs="Arial"/>
        </w:rPr>
        <w:t xml:space="preserve">as per the National Rent </w:t>
      </w:r>
      <w:r w:rsidR="0072129F">
        <w:rPr>
          <w:rFonts w:ascii="Arial" w:hAnsi="Arial" w:cs="Arial"/>
        </w:rPr>
        <w:lastRenderedPageBreak/>
        <w:t xml:space="preserve">Standard Formula, which </w:t>
      </w:r>
      <w:r w:rsidRPr="00AA4414">
        <w:rPr>
          <w:rFonts w:ascii="Arial" w:hAnsi="Arial" w:cs="Arial"/>
        </w:rPr>
        <w:t xml:space="preserve">gives registered providers some discretion over the rents that can be set. </w:t>
      </w:r>
      <w:r w:rsidR="008311E2">
        <w:rPr>
          <w:rFonts w:ascii="Arial" w:hAnsi="Arial" w:cs="Arial"/>
        </w:rPr>
        <w:t xml:space="preserve"> </w:t>
      </w:r>
      <w:r w:rsidRPr="00AA4414">
        <w:rPr>
          <w:rFonts w:ascii="Arial" w:hAnsi="Arial" w:cs="Arial"/>
        </w:rPr>
        <w:t>In setting rent levels, a crucial balance must be struck between ensuring that housing let by registered providers is affordable to all, including those on low incomes and / or in receipt of benefits, and maximising income to enable the development of more affordable housing</w:t>
      </w:r>
      <w:r w:rsidR="004B0FBF">
        <w:rPr>
          <w:rFonts w:ascii="Arial" w:hAnsi="Arial" w:cs="Arial"/>
        </w:rPr>
        <w:t>.</w:t>
      </w:r>
    </w:p>
    <w:p w14:paraId="7669A5F9" w14:textId="77777777" w:rsidR="00B44AB5" w:rsidRPr="00B44AB5" w:rsidRDefault="00B44AB5" w:rsidP="00585001">
      <w:pPr>
        <w:pStyle w:val="ListParagraph"/>
        <w:ind w:left="0"/>
        <w:rPr>
          <w:rFonts w:ascii="Arial" w:hAnsi="Arial" w:cs="Arial"/>
        </w:rPr>
      </w:pPr>
    </w:p>
    <w:p w14:paraId="4E113213" w14:textId="77777777" w:rsidR="00251401" w:rsidRPr="004E0A7B" w:rsidRDefault="008B0A92" w:rsidP="001C1F24">
      <w:pPr>
        <w:pStyle w:val="ListParagraph"/>
        <w:numPr>
          <w:ilvl w:val="0"/>
          <w:numId w:val="17"/>
        </w:numPr>
        <w:ind w:left="0"/>
        <w:rPr>
          <w:rFonts w:ascii="Arial" w:hAnsi="Arial" w:cs="Arial"/>
          <w:color w:val="000000"/>
        </w:rPr>
      </w:pPr>
      <w:r>
        <w:rPr>
          <w:rFonts w:ascii="Arial" w:hAnsi="Arial" w:cs="Arial"/>
          <w:color w:val="000000"/>
        </w:rPr>
        <w:t xml:space="preserve">All </w:t>
      </w:r>
      <w:r w:rsidR="0079187B">
        <w:rPr>
          <w:rFonts w:ascii="Arial" w:hAnsi="Arial" w:cs="Arial"/>
          <w:color w:val="000000"/>
        </w:rPr>
        <w:t xml:space="preserve">social housing </w:t>
      </w:r>
      <w:r>
        <w:rPr>
          <w:rFonts w:ascii="Arial" w:hAnsi="Arial" w:cs="Arial"/>
          <w:color w:val="000000"/>
        </w:rPr>
        <w:t xml:space="preserve">tenancies offered </w:t>
      </w:r>
      <w:r w:rsidR="00303E58">
        <w:rPr>
          <w:rFonts w:ascii="Arial" w:hAnsi="Arial" w:cs="Arial"/>
          <w:color w:val="000000"/>
        </w:rPr>
        <w:t>must be</w:t>
      </w:r>
      <w:r>
        <w:rPr>
          <w:rFonts w:ascii="Arial" w:hAnsi="Arial" w:cs="Arial"/>
          <w:color w:val="000000"/>
        </w:rPr>
        <w:t xml:space="preserve"> </w:t>
      </w:r>
      <w:r w:rsidR="00B65A4C" w:rsidRPr="00B44AB5">
        <w:rPr>
          <w:rFonts w:ascii="Arial" w:hAnsi="Arial" w:cs="Arial"/>
          <w:color w:val="000000"/>
        </w:rPr>
        <w:t xml:space="preserve">on Social Rent </w:t>
      </w:r>
      <w:r>
        <w:rPr>
          <w:rFonts w:ascii="Arial" w:hAnsi="Arial" w:cs="Arial"/>
          <w:color w:val="000000"/>
        </w:rPr>
        <w:t>or</w:t>
      </w:r>
      <w:r w:rsidRPr="00B44AB5">
        <w:rPr>
          <w:rFonts w:ascii="Arial" w:hAnsi="Arial" w:cs="Arial"/>
          <w:color w:val="000000"/>
        </w:rPr>
        <w:t xml:space="preserve"> </w:t>
      </w:r>
      <w:r w:rsidR="00B65A4C" w:rsidRPr="00B44AB5">
        <w:rPr>
          <w:rFonts w:ascii="Arial" w:hAnsi="Arial" w:cs="Arial"/>
          <w:color w:val="000000"/>
        </w:rPr>
        <w:t xml:space="preserve">Affordable Rent </w:t>
      </w:r>
      <w:r w:rsidR="007517D1" w:rsidRPr="00B44AB5">
        <w:rPr>
          <w:rFonts w:ascii="Arial" w:hAnsi="Arial" w:cs="Arial"/>
          <w:color w:val="000000"/>
        </w:rPr>
        <w:t>terms</w:t>
      </w:r>
      <w:r w:rsidR="007517D1">
        <w:rPr>
          <w:rFonts w:ascii="Arial" w:hAnsi="Arial" w:cs="Arial"/>
          <w:color w:val="000000"/>
        </w:rPr>
        <w:t xml:space="preserve"> and</w:t>
      </w:r>
      <w:r w:rsidR="00831B5D">
        <w:rPr>
          <w:rFonts w:ascii="Arial" w:hAnsi="Arial" w:cs="Arial"/>
          <w:color w:val="000000"/>
        </w:rPr>
        <w:t xml:space="preserve"> </w:t>
      </w:r>
      <w:r w:rsidR="00944250">
        <w:rPr>
          <w:rFonts w:ascii="Arial" w:hAnsi="Arial" w:cs="Arial"/>
          <w:color w:val="000000"/>
        </w:rPr>
        <w:t xml:space="preserve">the Council </w:t>
      </w:r>
      <w:r w:rsidR="009F0AD1">
        <w:rPr>
          <w:rFonts w:ascii="Arial" w:hAnsi="Arial" w:cs="Arial"/>
          <w:color w:val="000000"/>
        </w:rPr>
        <w:t>encourage</w:t>
      </w:r>
      <w:r w:rsidR="00DF1752">
        <w:rPr>
          <w:rFonts w:ascii="Arial" w:hAnsi="Arial" w:cs="Arial"/>
          <w:color w:val="000000"/>
        </w:rPr>
        <w:t>s</w:t>
      </w:r>
      <w:r w:rsidR="009F0AD1">
        <w:rPr>
          <w:rFonts w:ascii="Arial" w:hAnsi="Arial" w:cs="Arial"/>
          <w:color w:val="000000"/>
        </w:rPr>
        <w:t xml:space="preserve"> all r</w:t>
      </w:r>
      <w:r w:rsidR="00281E79">
        <w:rPr>
          <w:rFonts w:ascii="Arial" w:hAnsi="Arial" w:cs="Arial"/>
          <w:color w:val="000000"/>
        </w:rPr>
        <w:t xml:space="preserve">egistered providers of social housing </w:t>
      </w:r>
      <w:r w:rsidR="009F0AD1">
        <w:rPr>
          <w:rFonts w:ascii="Arial" w:hAnsi="Arial" w:cs="Arial"/>
          <w:color w:val="000000"/>
        </w:rPr>
        <w:t xml:space="preserve">in the Wandsworth borough to </w:t>
      </w:r>
      <w:r w:rsidR="00A00477">
        <w:rPr>
          <w:rFonts w:ascii="Arial" w:hAnsi="Arial" w:cs="Arial"/>
          <w:color w:val="000000"/>
        </w:rPr>
        <w:t xml:space="preserve">offer </w:t>
      </w:r>
      <w:r w:rsidR="00831B5D">
        <w:rPr>
          <w:rFonts w:ascii="Arial" w:hAnsi="Arial" w:cs="Arial"/>
          <w:color w:val="000000"/>
        </w:rPr>
        <w:t xml:space="preserve">only </w:t>
      </w:r>
      <w:r w:rsidR="00A00477">
        <w:rPr>
          <w:rFonts w:ascii="Arial" w:hAnsi="Arial" w:cs="Arial"/>
          <w:color w:val="000000"/>
        </w:rPr>
        <w:t xml:space="preserve">secure periodic / assured tenancies </w:t>
      </w:r>
      <w:r w:rsidR="00831B5D" w:rsidRPr="00B44AB5">
        <w:rPr>
          <w:rFonts w:ascii="Arial" w:hAnsi="Arial" w:cs="Arial"/>
          <w:color w:val="000000"/>
        </w:rPr>
        <w:t>(preceded by a 12-month introductory tenancy where legislation allows</w:t>
      </w:r>
      <w:r w:rsidR="007517D1">
        <w:rPr>
          <w:rFonts w:ascii="Arial" w:hAnsi="Arial" w:cs="Arial"/>
          <w:color w:val="000000"/>
        </w:rPr>
        <w:t>)</w:t>
      </w:r>
      <w:r w:rsidR="00831B5D">
        <w:rPr>
          <w:rFonts w:ascii="Arial" w:hAnsi="Arial" w:cs="Arial"/>
          <w:color w:val="000000"/>
        </w:rPr>
        <w:t xml:space="preserve"> </w:t>
      </w:r>
      <w:r w:rsidR="00693BA2">
        <w:rPr>
          <w:rFonts w:ascii="Arial" w:hAnsi="Arial" w:cs="Arial"/>
          <w:color w:val="000000"/>
        </w:rPr>
        <w:t xml:space="preserve">and </w:t>
      </w:r>
      <w:r w:rsidR="00C20824">
        <w:rPr>
          <w:rFonts w:ascii="Arial" w:hAnsi="Arial" w:cs="Arial"/>
          <w:color w:val="000000"/>
        </w:rPr>
        <w:t xml:space="preserve">would </w:t>
      </w:r>
      <w:r w:rsidR="00C41461">
        <w:rPr>
          <w:rFonts w:ascii="Arial" w:hAnsi="Arial" w:cs="Arial"/>
          <w:color w:val="000000"/>
        </w:rPr>
        <w:t xml:space="preserve">in exceptional circumstances </w:t>
      </w:r>
      <w:r w:rsidR="00C20824">
        <w:rPr>
          <w:rFonts w:ascii="Arial" w:hAnsi="Arial" w:cs="Arial"/>
          <w:color w:val="000000"/>
        </w:rPr>
        <w:t xml:space="preserve">support the use of </w:t>
      </w:r>
      <w:r w:rsidR="00EB1708">
        <w:rPr>
          <w:rFonts w:ascii="Arial" w:hAnsi="Arial" w:cs="Arial"/>
          <w:color w:val="000000"/>
        </w:rPr>
        <w:t xml:space="preserve">flexible </w:t>
      </w:r>
      <w:r w:rsidR="006B7EB1">
        <w:rPr>
          <w:rFonts w:ascii="Arial" w:hAnsi="Arial" w:cs="Arial"/>
          <w:color w:val="000000"/>
        </w:rPr>
        <w:t>f</w:t>
      </w:r>
      <w:r w:rsidR="00C20824">
        <w:rPr>
          <w:rFonts w:ascii="Arial" w:hAnsi="Arial" w:cs="Arial"/>
          <w:color w:val="000000"/>
        </w:rPr>
        <w:t xml:space="preserve">ixed term tenancies. </w:t>
      </w:r>
      <w:r w:rsidR="008E4C68">
        <w:rPr>
          <w:rFonts w:ascii="Arial" w:hAnsi="Arial" w:cs="Arial"/>
          <w:color w:val="000000"/>
        </w:rPr>
        <w:t xml:space="preserve"> </w:t>
      </w:r>
      <w:r w:rsidR="00FE7B1C">
        <w:rPr>
          <w:rFonts w:ascii="Arial" w:hAnsi="Arial" w:cs="Arial"/>
          <w:color w:val="000000"/>
        </w:rPr>
        <w:t>R</w:t>
      </w:r>
      <w:r w:rsidR="00B32C1A">
        <w:rPr>
          <w:rFonts w:ascii="Arial" w:hAnsi="Arial" w:cs="Arial"/>
          <w:color w:val="000000"/>
        </w:rPr>
        <w:t xml:space="preserve">egistered providers of social housing </w:t>
      </w:r>
      <w:r w:rsidR="008914AD" w:rsidRPr="004E0A7B">
        <w:rPr>
          <w:rFonts w:ascii="Arial" w:hAnsi="Arial" w:cs="Arial"/>
          <w:color w:val="000000"/>
        </w:rPr>
        <w:t xml:space="preserve">must </w:t>
      </w:r>
      <w:r w:rsidR="001B2B8F" w:rsidRPr="004E0A7B">
        <w:rPr>
          <w:rFonts w:ascii="Arial" w:hAnsi="Arial" w:cs="Arial"/>
          <w:color w:val="000000"/>
        </w:rPr>
        <w:t xml:space="preserve">have regard to this strategy </w:t>
      </w:r>
      <w:r w:rsidR="004E0A7B" w:rsidRPr="004E0A7B">
        <w:rPr>
          <w:rFonts w:ascii="Arial" w:hAnsi="Arial" w:cs="Arial"/>
          <w:color w:val="000000"/>
        </w:rPr>
        <w:t xml:space="preserve">when formulating their own tenancy and rent strategy and policy, and </w:t>
      </w:r>
      <w:r w:rsidR="00757229" w:rsidRPr="004E0A7B">
        <w:rPr>
          <w:rFonts w:ascii="Arial" w:hAnsi="Arial" w:cs="Arial"/>
          <w:color w:val="000000"/>
        </w:rPr>
        <w:t xml:space="preserve">rent levels </w:t>
      </w:r>
      <w:r w:rsidR="004E0A7B" w:rsidRPr="004E0A7B">
        <w:rPr>
          <w:rFonts w:ascii="Arial" w:hAnsi="Arial" w:cs="Arial"/>
          <w:color w:val="000000"/>
        </w:rPr>
        <w:t xml:space="preserve">must be </w:t>
      </w:r>
      <w:r w:rsidR="00757229" w:rsidRPr="004E0A7B">
        <w:rPr>
          <w:rFonts w:ascii="Arial" w:hAnsi="Arial" w:cs="Arial"/>
          <w:color w:val="000000"/>
        </w:rPr>
        <w:t xml:space="preserve">set in accordance </w:t>
      </w:r>
      <w:r w:rsidR="00B75C41">
        <w:rPr>
          <w:rFonts w:ascii="Arial" w:hAnsi="Arial" w:cs="Arial"/>
          <w:color w:val="000000"/>
        </w:rPr>
        <w:t>with</w:t>
      </w:r>
      <w:r w:rsidR="00757229" w:rsidRPr="004E0A7B">
        <w:rPr>
          <w:rFonts w:ascii="Arial" w:hAnsi="Arial" w:cs="Arial"/>
          <w:color w:val="000000"/>
        </w:rPr>
        <w:t xml:space="preserve"> the National Rent Standard as set by the Regulator of Social Housing.</w:t>
      </w:r>
    </w:p>
    <w:p w14:paraId="04BADD0C" w14:textId="77777777" w:rsidR="00D029EF" w:rsidRDefault="00D029EF" w:rsidP="00D029EF">
      <w:pPr>
        <w:pStyle w:val="ListParagraph"/>
        <w:ind w:left="0"/>
        <w:rPr>
          <w:rFonts w:ascii="Arial" w:hAnsi="Arial" w:cs="Arial"/>
          <w:color w:val="000000"/>
        </w:rPr>
      </w:pPr>
    </w:p>
    <w:p w14:paraId="0FBEB62E" w14:textId="77777777" w:rsidR="00C34282" w:rsidRDefault="00C34282" w:rsidP="00C34282">
      <w:pPr>
        <w:rPr>
          <w:rFonts w:ascii="Arial" w:hAnsi="Arial" w:cs="Arial"/>
          <w:color w:val="000000"/>
          <w:u w:val="single"/>
        </w:rPr>
      </w:pPr>
      <w:r w:rsidRPr="00FA0575">
        <w:rPr>
          <w:rFonts w:ascii="Arial" w:hAnsi="Arial" w:cs="Arial"/>
          <w:color w:val="000000"/>
          <w:u w:val="single"/>
        </w:rPr>
        <w:t>Social Rent terms</w:t>
      </w:r>
    </w:p>
    <w:p w14:paraId="225FCB9E" w14:textId="77777777" w:rsidR="00C34282" w:rsidRDefault="00C34282" w:rsidP="00D029EF">
      <w:pPr>
        <w:pStyle w:val="ListParagraph"/>
        <w:ind w:left="0"/>
        <w:rPr>
          <w:rFonts w:ascii="Arial" w:hAnsi="Arial" w:cs="Arial"/>
          <w:color w:val="000000"/>
        </w:rPr>
      </w:pPr>
    </w:p>
    <w:p w14:paraId="50133C1F" w14:textId="77777777" w:rsidR="00250786" w:rsidRDefault="00250786" w:rsidP="00585001">
      <w:pPr>
        <w:pStyle w:val="ListParagraph"/>
        <w:numPr>
          <w:ilvl w:val="0"/>
          <w:numId w:val="17"/>
        </w:numPr>
        <w:ind w:left="0"/>
        <w:rPr>
          <w:rFonts w:ascii="Arial" w:hAnsi="Arial" w:cs="Arial"/>
          <w:color w:val="000000"/>
        </w:rPr>
      </w:pPr>
      <w:r>
        <w:rPr>
          <w:rFonts w:ascii="Arial" w:hAnsi="Arial" w:cs="Arial"/>
          <w:color w:val="000000"/>
        </w:rPr>
        <w:t xml:space="preserve">The majority of the Councils social housing tenanted stock is let to residents </w:t>
      </w:r>
      <w:r w:rsidR="001A076A">
        <w:rPr>
          <w:rFonts w:ascii="Arial" w:hAnsi="Arial" w:cs="Arial"/>
          <w:color w:val="000000"/>
        </w:rPr>
        <w:t>on</w:t>
      </w:r>
      <w:r>
        <w:rPr>
          <w:rFonts w:ascii="Arial" w:hAnsi="Arial" w:cs="Arial"/>
          <w:color w:val="000000"/>
        </w:rPr>
        <w:t xml:space="preserve"> Social Rent </w:t>
      </w:r>
      <w:r w:rsidR="001A076A">
        <w:rPr>
          <w:rFonts w:ascii="Arial" w:hAnsi="Arial" w:cs="Arial"/>
          <w:color w:val="000000"/>
        </w:rPr>
        <w:t>terms</w:t>
      </w:r>
      <w:r>
        <w:rPr>
          <w:rFonts w:ascii="Arial" w:hAnsi="Arial" w:cs="Arial"/>
          <w:color w:val="000000"/>
        </w:rPr>
        <w:t>, which is the lowest rent level which the Council can offer.</w:t>
      </w:r>
      <w:r w:rsidR="00D54AEF">
        <w:rPr>
          <w:rFonts w:ascii="Arial" w:hAnsi="Arial" w:cs="Arial"/>
          <w:color w:val="000000"/>
        </w:rPr>
        <w:t xml:space="preserve">  All other Wandsworth social housing tenancies will be let at Affordable Rent levels (see paragraphs </w:t>
      </w:r>
      <w:r w:rsidR="00D00406">
        <w:rPr>
          <w:rFonts w:ascii="Arial" w:hAnsi="Arial" w:cs="Arial"/>
          <w:color w:val="000000"/>
        </w:rPr>
        <w:t>33</w:t>
      </w:r>
      <w:r w:rsidR="002E6133">
        <w:rPr>
          <w:rFonts w:ascii="Arial" w:hAnsi="Arial" w:cs="Arial"/>
          <w:color w:val="000000"/>
        </w:rPr>
        <w:t xml:space="preserve"> to 3</w:t>
      </w:r>
      <w:r w:rsidR="00D00406">
        <w:rPr>
          <w:rFonts w:ascii="Arial" w:hAnsi="Arial" w:cs="Arial"/>
          <w:color w:val="000000"/>
        </w:rPr>
        <w:t>7</w:t>
      </w:r>
      <w:r w:rsidR="002E6133">
        <w:rPr>
          <w:rFonts w:ascii="Arial" w:hAnsi="Arial" w:cs="Arial"/>
          <w:color w:val="000000"/>
        </w:rPr>
        <w:t>)</w:t>
      </w:r>
      <w:r w:rsidR="00D54AEF">
        <w:rPr>
          <w:rFonts w:ascii="Arial" w:hAnsi="Arial" w:cs="Arial"/>
          <w:color w:val="000000"/>
        </w:rPr>
        <w:t>.</w:t>
      </w:r>
    </w:p>
    <w:p w14:paraId="0CF6554B" w14:textId="77777777" w:rsidR="00250786" w:rsidRDefault="00250786" w:rsidP="00585001">
      <w:pPr>
        <w:pStyle w:val="ListParagraph"/>
        <w:ind w:left="0"/>
        <w:rPr>
          <w:rFonts w:ascii="Arial" w:hAnsi="Arial" w:cs="Arial"/>
          <w:color w:val="000000"/>
        </w:rPr>
      </w:pPr>
    </w:p>
    <w:p w14:paraId="6132E487" w14:textId="77777777" w:rsidR="00250786" w:rsidRDefault="000B2255" w:rsidP="00585001">
      <w:pPr>
        <w:pStyle w:val="ListParagraph"/>
        <w:numPr>
          <w:ilvl w:val="0"/>
          <w:numId w:val="17"/>
        </w:numPr>
        <w:ind w:left="0"/>
        <w:rPr>
          <w:rFonts w:ascii="Arial" w:hAnsi="Arial" w:cs="Arial"/>
          <w:color w:val="000000"/>
        </w:rPr>
      </w:pPr>
      <w:r>
        <w:rPr>
          <w:rFonts w:ascii="Arial" w:hAnsi="Arial" w:cs="Arial"/>
          <w:color w:val="000000"/>
        </w:rPr>
        <w:t>All social housing t</w:t>
      </w:r>
      <w:r w:rsidR="00614128">
        <w:rPr>
          <w:rFonts w:ascii="Arial" w:hAnsi="Arial" w:cs="Arial"/>
          <w:color w:val="000000"/>
        </w:rPr>
        <w:t>enants</w:t>
      </w:r>
      <w:r>
        <w:rPr>
          <w:rFonts w:ascii="Arial" w:hAnsi="Arial" w:cs="Arial"/>
          <w:color w:val="000000"/>
        </w:rPr>
        <w:t xml:space="preserve"> in Wandsworth</w:t>
      </w:r>
      <w:r w:rsidR="00614128">
        <w:rPr>
          <w:rFonts w:ascii="Arial" w:hAnsi="Arial" w:cs="Arial"/>
          <w:color w:val="000000"/>
        </w:rPr>
        <w:t xml:space="preserve"> </w:t>
      </w:r>
      <w:r w:rsidR="001A076A">
        <w:rPr>
          <w:rFonts w:ascii="Arial" w:hAnsi="Arial" w:cs="Arial"/>
          <w:color w:val="000000"/>
        </w:rPr>
        <w:t>who are offered tenancies on Social</w:t>
      </w:r>
      <w:r w:rsidR="006F095A">
        <w:rPr>
          <w:rFonts w:ascii="Arial" w:hAnsi="Arial" w:cs="Arial"/>
          <w:color w:val="000000"/>
        </w:rPr>
        <w:t xml:space="preserve"> Rent</w:t>
      </w:r>
      <w:r w:rsidR="001A076A">
        <w:rPr>
          <w:rFonts w:ascii="Arial" w:hAnsi="Arial" w:cs="Arial"/>
          <w:color w:val="000000"/>
        </w:rPr>
        <w:t xml:space="preserve"> terms </w:t>
      </w:r>
      <w:r w:rsidR="008A0E17">
        <w:rPr>
          <w:rFonts w:ascii="Arial" w:hAnsi="Arial" w:cs="Arial"/>
          <w:color w:val="000000"/>
        </w:rPr>
        <w:t xml:space="preserve">will remain </w:t>
      </w:r>
      <w:r w:rsidR="006F095A">
        <w:rPr>
          <w:rFonts w:ascii="Arial" w:hAnsi="Arial" w:cs="Arial"/>
          <w:color w:val="000000"/>
        </w:rPr>
        <w:t>on Socia</w:t>
      </w:r>
      <w:r w:rsidR="00F34637">
        <w:rPr>
          <w:rFonts w:ascii="Arial" w:hAnsi="Arial" w:cs="Arial"/>
          <w:color w:val="000000"/>
        </w:rPr>
        <w:t>l Rent terms throughout their tenancy</w:t>
      </w:r>
      <w:r w:rsidR="001F11BF">
        <w:rPr>
          <w:rFonts w:ascii="Arial" w:hAnsi="Arial" w:cs="Arial"/>
          <w:color w:val="000000"/>
        </w:rPr>
        <w:t>, and if they are on a flexible fixed term tenancy, they will remain on Social Rent terms if they are offered a new</w:t>
      </w:r>
      <w:r w:rsidR="00776A84">
        <w:rPr>
          <w:rFonts w:ascii="Arial" w:hAnsi="Arial" w:cs="Arial"/>
          <w:color w:val="000000"/>
        </w:rPr>
        <w:t xml:space="preserve"> social housing tenancy at the same property</w:t>
      </w:r>
      <w:r w:rsidR="00F34637">
        <w:rPr>
          <w:rFonts w:ascii="Arial" w:hAnsi="Arial" w:cs="Arial"/>
          <w:color w:val="000000"/>
        </w:rPr>
        <w:t>.</w:t>
      </w:r>
    </w:p>
    <w:p w14:paraId="7875F76A" w14:textId="77777777" w:rsidR="00F34637" w:rsidRPr="00F34637" w:rsidRDefault="00F34637" w:rsidP="00585001">
      <w:pPr>
        <w:pStyle w:val="ListParagraph"/>
        <w:ind w:left="0"/>
        <w:rPr>
          <w:rFonts w:ascii="Arial" w:hAnsi="Arial" w:cs="Arial"/>
          <w:color w:val="000000"/>
        </w:rPr>
      </w:pPr>
    </w:p>
    <w:p w14:paraId="60A19EAF" w14:textId="77777777" w:rsidR="00F34637" w:rsidRDefault="007B3E62" w:rsidP="00585001">
      <w:pPr>
        <w:pStyle w:val="ListParagraph"/>
        <w:numPr>
          <w:ilvl w:val="0"/>
          <w:numId w:val="17"/>
        </w:numPr>
        <w:ind w:left="0"/>
        <w:rPr>
          <w:rFonts w:ascii="Arial" w:hAnsi="Arial" w:cs="Arial"/>
          <w:color w:val="000000"/>
        </w:rPr>
      </w:pPr>
      <w:r>
        <w:rPr>
          <w:rFonts w:ascii="Arial" w:hAnsi="Arial" w:cs="Arial"/>
          <w:color w:val="000000"/>
        </w:rPr>
        <w:t>If a</w:t>
      </w:r>
      <w:r w:rsidR="001C1C49">
        <w:rPr>
          <w:rFonts w:ascii="Arial" w:hAnsi="Arial" w:cs="Arial"/>
          <w:color w:val="000000"/>
        </w:rPr>
        <w:t xml:space="preserve">n existing </w:t>
      </w:r>
      <w:r w:rsidR="007F7C6C">
        <w:rPr>
          <w:rFonts w:ascii="Arial" w:hAnsi="Arial" w:cs="Arial"/>
          <w:color w:val="000000"/>
        </w:rPr>
        <w:t xml:space="preserve">social housing </w:t>
      </w:r>
      <w:r>
        <w:rPr>
          <w:rFonts w:ascii="Arial" w:hAnsi="Arial" w:cs="Arial"/>
          <w:color w:val="000000"/>
        </w:rPr>
        <w:t>tenant</w:t>
      </w:r>
      <w:r w:rsidR="00BF165A">
        <w:rPr>
          <w:rFonts w:ascii="Arial" w:hAnsi="Arial" w:cs="Arial"/>
          <w:color w:val="000000"/>
        </w:rPr>
        <w:t xml:space="preserve"> on Social Rent terms</w:t>
      </w:r>
      <w:r>
        <w:rPr>
          <w:rFonts w:ascii="Arial" w:hAnsi="Arial" w:cs="Arial"/>
          <w:color w:val="000000"/>
        </w:rPr>
        <w:t xml:space="preserve"> </w:t>
      </w:r>
      <w:r w:rsidR="00344916">
        <w:rPr>
          <w:rFonts w:ascii="Arial" w:hAnsi="Arial" w:cs="Arial"/>
          <w:color w:val="000000"/>
        </w:rPr>
        <w:t xml:space="preserve">is offered a new </w:t>
      </w:r>
      <w:r w:rsidR="00F96CD8">
        <w:rPr>
          <w:rFonts w:ascii="Arial" w:hAnsi="Arial" w:cs="Arial"/>
          <w:color w:val="000000"/>
        </w:rPr>
        <w:t xml:space="preserve">social housing tenancy </w:t>
      </w:r>
      <w:r w:rsidR="00D73ED0">
        <w:rPr>
          <w:rFonts w:ascii="Arial" w:hAnsi="Arial" w:cs="Arial"/>
          <w:color w:val="000000"/>
        </w:rPr>
        <w:t xml:space="preserve">at a different property </w:t>
      </w:r>
      <w:r w:rsidR="003C3E89">
        <w:rPr>
          <w:rFonts w:ascii="Arial" w:hAnsi="Arial" w:cs="Arial"/>
          <w:color w:val="000000"/>
        </w:rPr>
        <w:t xml:space="preserve">via the Council tenant transfer queue </w:t>
      </w:r>
      <w:r w:rsidR="00344916">
        <w:rPr>
          <w:rFonts w:ascii="Arial" w:hAnsi="Arial" w:cs="Arial"/>
          <w:color w:val="000000"/>
        </w:rPr>
        <w:t xml:space="preserve">(or via any other move) the </w:t>
      </w:r>
      <w:r w:rsidR="005873E8">
        <w:rPr>
          <w:rFonts w:ascii="Arial" w:hAnsi="Arial" w:cs="Arial"/>
          <w:color w:val="000000"/>
        </w:rPr>
        <w:t>tenant</w:t>
      </w:r>
      <w:r w:rsidR="00344916">
        <w:rPr>
          <w:rFonts w:ascii="Arial" w:hAnsi="Arial" w:cs="Arial"/>
          <w:color w:val="000000"/>
        </w:rPr>
        <w:t xml:space="preserve"> </w:t>
      </w:r>
      <w:r w:rsidR="000C7723">
        <w:rPr>
          <w:rFonts w:ascii="Arial" w:hAnsi="Arial" w:cs="Arial"/>
          <w:color w:val="000000"/>
        </w:rPr>
        <w:t>could</w:t>
      </w:r>
      <w:r w:rsidR="00344916">
        <w:rPr>
          <w:rFonts w:ascii="Arial" w:hAnsi="Arial" w:cs="Arial"/>
          <w:color w:val="000000"/>
        </w:rPr>
        <w:t xml:space="preserve"> </w:t>
      </w:r>
      <w:r w:rsidR="00977EEE">
        <w:rPr>
          <w:rFonts w:ascii="Arial" w:hAnsi="Arial" w:cs="Arial"/>
          <w:color w:val="000000"/>
        </w:rPr>
        <w:t xml:space="preserve">be </w:t>
      </w:r>
      <w:r w:rsidR="00344916">
        <w:rPr>
          <w:rFonts w:ascii="Arial" w:hAnsi="Arial" w:cs="Arial"/>
          <w:color w:val="000000"/>
        </w:rPr>
        <w:t>offer</w:t>
      </w:r>
      <w:r w:rsidR="009F5CE6">
        <w:rPr>
          <w:rFonts w:ascii="Arial" w:hAnsi="Arial" w:cs="Arial"/>
          <w:color w:val="000000"/>
        </w:rPr>
        <w:t>ed</w:t>
      </w:r>
      <w:r w:rsidR="00344916">
        <w:rPr>
          <w:rFonts w:ascii="Arial" w:hAnsi="Arial" w:cs="Arial"/>
          <w:color w:val="000000"/>
        </w:rPr>
        <w:t xml:space="preserve"> a </w:t>
      </w:r>
      <w:r w:rsidR="0085509C">
        <w:rPr>
          <w:rFonts w:ascii="Arial" w:hAnsi="Arial" w:cs="Arial"/>
          <w:color w:val="000000"/>
        </w:rPr>
        <w:t xml:space="preserve">tenancy </w:t>
      </w:r>
      <w:r w:rsidR="00F470BD">
        <w:rPr>
          <w:rFonts w:ascii="Arial" w:hAnsi="Arial" w:cs="Arial"/>
          <w:color w:val="000000"/>
        </w:rPr>
        <w:t xml:space="preserve">set </w:t>
      </w:r>
      <w:r w:rsidR="0085509C">
        <w:rPr>
          <w:rFonts w:ascii="Arial" w:hAnsi="Arial" w:cs="Arial"/>
          <w:color w:val="000000"/>
        </w:rPr>
        <w:t xml:space="preserve">at </w:t>
      </w:r>
      <w:r w:rsidR="00B06FFB">
        <w:rPr>
          <w:rFonts w:ascii="Arial" w:hAnsi="Arial" w:cs="Arial"/>
          <w:color w:val="000000"/>
        </w:rPr>
        <w:t>Affordable Rent</w:t>
      </w:r>
      <w:r w:rsidR="0078711C">
        <w:rPr>
          <w:rFonts w:ascii="Arial" w:hAnsi="Arial" w:cs="Arial"/>
          <w:color w:val="000000"/>
        </w:rPr>
        <w:t xml:space="preserve">, though the </w:t>
      </w:r>
      <w:r w:rsidR="00547340">
        <w:rPr>
          <w:rFonts w:ascii="Arial" w:hAnsi="Arial" w:cs="Arial"/>
          <w:color w:val="000000"/>
        </w:rPr>
        <w:t>tenant would</w:t>
      </w:r>
      <w:r w:rsidR="001F6525">
        <w:rPr>
          <w:rFonts w:ascii="Arial" w:hAnsi="Arial" w:cs="Arial"/>
          <w:color w:val="000000"/>
        </w:rPr>
        <w:t xml:space="preserve"> </w:t>
      </w:r>
      <w:r w:rsidR="00F9288A">
        <w:rPr>
          <w:rFonts w:ascii="Arial" w:hAnsi="Arial" w:cs="Arial"/>
          <w:color w:val="000000"/>
        </w:rPr>
        <w:t xml:space="preserve">retain the same </w:t>
      </w:r>
      <w:r w:rsidR="005A1D6F">
        <w:rPr>
          <w:rFonts w:ascii="Arial" w:hAnsi="Arial" w:cs="Arial"/>
          <w:color w:val="000000"/>
        </w:rPr>
        <w:t xml:space="preserve">tenure security </w:t>
      </w:r>
      <w:r w:rsidR="00D5680F">
        <w:rPr>
          <w:rFonts w:ascii="Arial" w:hAnsi="Arial" w:cs="Arial"/>
          <w:color w:val="000000"/>
        </w:rPr>
        <w:t xml:space="preserve">as their </w:t>
      </w:r>
      <w:r w:rsidR="00DE7796">
        <w:rPr>
          <w:rFonts w:ascii="Arial" w:hAnsi="Arial" w:cs="Arial"/>
          <w:color w:val="000000"/>
        </w:rPr>
        <w:t>preceding</w:t>
      </w:r>
      <w:r w:rsidR="00D5680F">
        <w:rPr>
          <w:rFonts w:ascii="Arial" w:hAnsi="Arial" w:cs="Arial"/>
          <w:color w:val="000000"/>
        </w:rPr>
        <w:t xml:space="preserve"> social housing tenancy</w:t>
      </w:r>
      <w:r w:rsidR="00DE7796">
        <w:rPr>
          <w:rFonts w:ascii="Arial" w:hAnsi="Arial" w:cs="Arial"/>
          <w:color w:val="000000"/>
        </w:rPr>
        <w:t xml:space="preserve"> and would not be offered a tenancy with any less </w:t>
      </w:r>
      <w:r w:rsidR="00D9038E">
        <w:rPr>
          <w:rFonts w:ascii="Arial" w:hAnsi="Arial" w:cs="Arial"/>
          <w:color w:val="000000"/>
        </w:rPr>
        <w:t>security</w:t>
      </w:r>
      <w:r w:rsidR="00D5680F">
        <w:rPr>
          <w:rFonts w:ascii="Arial" w:hAnsi="Arial" w:cs="Arial"/>
          <w:color w:val="000000"/>
        </w:rPr>
        <w:t>.</w:t>
      </w:r>
    </w:p>
    <w:p w14:paraId="33517F1C" w14:textId="77777777" w:rsidR="0078711C" w:rsidRDefault="0078711C" w:rsidP="0078711C">
      <w:pPr>
        <w:pStyle w:val="ListParagraph"/>
        <w:ind w:left="0"/>
        <w:rPr>
          <w:rFonts w:ascii="Arial" w:hAnsi="Arial" w:cs="Arial"/>
          <w:color w:val="000000"/>
        </w:rPr>
      </w:pPr>
    </w:p>
    <w:p w14:paraId="58861F5A" w14:textId="77777777" w:rsidR="00714B88" w:rsidRPr="00943C5C" w:rsidRDefault="00150030" w:rsidP="00F7104D">
      <w:pPr>
        <w:pStyle w:val="ListParagraph"/>
        <w:numPr>
          <w:ilvl w:val="0"/>
          <w:numId w:val="17"/>
        </w:numPr>
        <w:ind w:left="0" w:right="-874"/>
        <w:rPr>
          <w:rFonts w:ascii="Arial" w:hAnsi="Arial" w:cs="Arial"/>
          <w:color w:val="000000"/>
          <w:u w:val="single"/>
        </w:rPr>
      </w:pPr>
      <w:r w:rsidRPr="00943C5C">
        <w:rPr>
          <w:rFonts w:ascii="Arial" w:hAnsi="Arial" w:cs="Arial"/>
          <w:color w:val="000000"/>
        </w:rPr>
        <w:t>The council encourages all registered providers of social housing to use only secur</w:t>
      </w:r>
      <w:r w:rsidR="00311BC3" w:rsidRPr="00943C5C">
        <w:rPr>
          <w:rFonts w:ascii="Arial" w:hAnsi="Arial" w:cs="Arial"/>
          <w:color w:val="000000"/>
        </w:rPr>
        <w:t>e</w:t>
      </w:r>
      <w:r w:rsidRPr="00943C5C">
        <w:rPr>
          <w:rFonts w:ascii="Arial" w:hAnsi="Arial" w:cs="Arial"/>
          <w:color w:val="000000"/>
        </w:rPr>
        <w:t xml:space="preserve"> periodic</w:t>
      </w:r>
      <w:r w:rsidR="00B04A6C">
        <w:rPr>
          <w:rFonts w:ascii="Arial" w:hAnsi="Arial" w:cs="Arial"/>
          <w:color w:val="000000"/>
        </w:rPr>
        <w:t xml:space="preserve"> / assured</w:t>
      </w:r>
      <w:r w:rsidRPr="00943C5C">
        <w:rPr>
          <w:rFonts w:ascii="Arial" w:hAnsi="Arial" w:cs="Arial"/>
          <w:color w:val="000000"/>
        </w:rPr>
        <w:t xml:space="preserve"> tenancies (preceded by a 12-month</w:t>
      </w:r>
      <w:r w:rsidR="00FC5111">
        <w:rPr>
          <w:rFonts w:ascii="Arial" w:hAnsi="Arial" w:cs="Arial"/>
          <w:color w:val="000000"/>
        </w:rPr>
        <w:t xml:space="preserve"> introductory</w:t>
      </w:r>
      <w:r w:rsidRPr="00943C5C">
        <w:rPr>
          <w:rFonts w:ascii="Arial" w:hAnsi="Arial" w:cs="Arial"/>
          <w:color w:val="000000"/>
        </w:rPr>
        <w:t xml:space="preserve"> tenancy where legislation allows) </w:t>
      </w:r>
      <w:r w:rsidR="00311BC3" w:rsidRPr="00943C5C">
        <w:rPr>
          <w:rFonts w:ascii="Arial" w:hAnsi="Arial" w:cs="Arial"/>
          <w:color w:val="000000"/>
        </w:rPr>
        <w:t>when an offer is made on Social Rent terms</w:t>
      </w:r>
      <w:r w:rsidR="00943C5C" w:rsidRPr="00943C5C">
        <w:rPr>
          <w:rFonts w:ascii="Arial" w:hAnsi="Arial" w:cs="Arial"/>
          <w:color w:val="000000"/>
        </w:rPr>
        <w:t>,</w:t>
      </w:r>
      <w:r w:rsidR="00977CF5">
        <w:rPr>
          <w:rFonts w:ascii="Arial" w:hAnsi="Arial" w:cs="Arial"/>
          <w:color w:val="000000"/>
        </w:rPr>
        <w:t xml:space="preserve"> and to only use fixed term tenancies </w:t>
      </w:r>
      <w:r w:rsidR="008F522C">
        <w:rPr>
          <w:rFonts w:ascii="Arial" w:hAnsi="Arial" w:cs="Arial"/>
          <w:color w:val="000000"/>
        </w:rPr>
        <w:t>in exceptional circumstances as outlined in the Wandsworth Tenancy Policy.</w:t>
      </w:r>
    </w:p>
    <w:p w14:paraId="2C6D92CB" w14:textId="77777777" w:rsidR="00943C5C" w:rsidRPr="00943C5C" w:rsidRDefault="00943C5C" w:rsidP="00943C5C">
      <w:pPr>
        <w:pStyle w:val="ListParagraph"/>
        <w:ind w:left="0" w:right="-874"/>
        <w:rPr>
          <w:rFonts w:ascii="Arial" w:hAnsi="Arial" w:cs="Arial"/>
          <w:color w:val="000000"/>
          <w:u w:val="single"/>
        </w:rPr>
      </w:pPr>
    </w:p>
    <w:p w14:paraId="02A53A16" w14:textId="77777777" w:rsidR="00714B88" w:rsidRPr="00714B88" w:rsidRDefault="00714B88" w:rsidP="00585001">
      <w:pPr>
        <w:rPr>
          <w:rFonts w:ascii="Arial" w:hAnsi="Arial" w:cs="Arial"/>
          <w:color w:val="000000"/>
          <w:u w:val="single"/>
        </w:rPr>
      </w:pPr>
      <w:r w:rsidRPr="00714B88">
        <w:rPr>
          <w:rFonts w:ascii="Arial" w:hAnsi="Arial" w:cs="Arial"/>
          <w:color w:val="000000"/>
          <w:u w:val="single"/>
        </w:rPr>
        <w:t>Affordable Rent terms</w:t>
      </w:r>
    </w:p>
    <w:p w14:paraId="17B20449" w14:textId="77777777" w:rsidR="00714B88" w:rsidRPr="00714B88" w:rsidRDefault="00714B88" w:rsidP="00585001">
      <w:pPr>
        <w:pStyle w:val="ListParagraph"/>
        <w:ind w:left="0"/>
        <w:rPr>
          <w:rFonts w:ascii="Arial" w:hAnsi="Arial" w:cs="Arial"/>
          <w:color w:val="000000"/>
        </w:rPr>
      </w:pPr>
    </w:p>
    <w:p w14:paraId="235B1108" w14:textId="77777777" w:rsidR="00714B88" w:rsidRDefault="00621FE1" w:rsidP="00585001">
      <w:pPr>
        <w:pStyle w:val="ListParagraph"/>
        <w:numPr>
          <w:ilvl w:val="0"/>
          <w:numId w:val="17"/>
        </w:numPr>
        <w:ind w:left="0"/>
        <w:rPr>
          <w:rFonts w:ascii="Arial" w:hAnsi="Arial" w:cs="Arial"/>
          <w:color w:val="000000"/>
        </w:rPr>
      </w:pPr>
      <w:r>
        <w:rPr>
          <w:rFonts w:ascii="Arial" w:hAnsi="Arial" w:cs="Arial"/>
          <w:color w:val="000000"/>
        </w:rPr>
        <w:t>A</w:t>
      </w:r>
      <w:r w:rsidR="006866DE">
        <w:rPr>
          <w:rFonts w:ascii="Arial" w:hAnsi="Arial" w:cs="Arial"/>
          <w:color w:val="000000"/>
        </w:rPr>
        <w:t>s</w:t>
      </w:r>
      <w:r>
        <w:rPr>
          <w:rFonts w:ascii="Arial" w:hAnsi="Arial" w:cs="Arial"/>
          <w:color w:val="000000"/>
        </w:rPr>
        <w:t xml:space="preserve"> stipulated in paragraph </w:t>
      </w:r>
      <w:r w:rsidR="00984D83">
        <w:rPr>
          <w:rFonts w:ascii="Arial" w:hAnsi="Arial" w:cs="Arial"/>
          <w:color w:val="000000"/>
        </w:rPr>
        <w:t>25</w:t>
      </w:r>
      <w:r>
        <w:rPr>
          <w:rFonts w:ascii="Arial" w:hAnsi="Arial" w:cs="Arial"/>
          <w:color w:val="000000"/>
        </w:rPr>
        <w:t>, a small number of the Councils social housing dwellings will be let to tenants on Affordable Rent terms</w:t>
      </w:r>
      <w:r w:rsidR="00345A04">
        <w:rPr>
          <w:rFonts w:ascii="Arial" w:hAnsi="Arial" w:cs="Arial"/>
          <w:color w:val="000000"/>
        </w:rPr>
        <w:t>.</w:t>
      </w:r>
    </w:p>
    <w:p w14:paraId="77A92656" w14:textId="77777777" w:rsidR="00345A04" w:rsidRDefault="00345A04" w:rsidP="00585001">
      <w:pPr>
        <w:pStyle w:val="ListParagraph"/>
        <w:ind w:left="0"/>
        <w:rPr>
          <w:rFonts w:ascii="Arial" w:hAnsi="Arial" w:cs="Arial"/>
          <w:color w:val="000000"/>
        </w:rPr>
      </w:pPr>
    </w:p>
    <w:p w14:paraId="2F30A78E" w14:textId="77777777" w:rsidR="00345A04" w:rsidRDefault="00345A04" w:rsidP="00585001">
      <w:pPr>
        <w:pStyle w:val="ListParagraph"/>
        <w:numPr>
          <w:ilvl w:val="0"/>
          <w:numId w:val="17"/>
        </w:numPr>
        <w:ind w:left="0"/>
        <w:rPr>
          <w:rFonts w:ascii="Arial" w:hAnsi="Arial" w:cs="Arial"/>
          <w:color w:val="000000"/>
        </w:rPr>
      </w:pPr>
      <w:r>
        <w:rPr>
          <w:rFonts w:ascii="Arial" w:hAnsi="Arial" w:cs="Arial"/>
          <w:color w:val="000000"/>
        </w:rPr>
        <w:t xml:space="preserve">As with tenants on Social Rent terms, Wandsworth Council tenants </w:t>
      </w:r>
      <w:r w:rsidR="004B5AC7">
        <w:rPr>
          <w:rFonts w:ascii="Arial" w:hAnsi="Arial" w:cs="Arial"/>
          <w:color w:val="000000"/>
        </w:rPr>
        <w:t xml:space="preserve">offered a tenancy on Affordable Rent terms </w:t>
      </w:r>
      <w:r w:rsidR="008D65A9">
        <w:rPr>
          <w:rFonts w:ascii="Arial" w:hAnsi="Arial" w:cs="Arial"/>
          <w:color w:val="000000"/>
        </w:rPr>
        <w:t>will be made an offer of a secure periodic tenancy (preceded by a 12-month introductory tenancy where legislation allows)</w:t>
      </w:r>
      <w:r w:rsidR="008F522C">
        <w:rPr>
          <w:rFonts w:ascii="Arial" w:hAnsi="Arial" w:cs="Arial"/>
          <w:color w:val="000000"/>
        </w:rPr>
        <w:t xml:space="preserve"> in most instances</w:t>
      </w:r>
      <w:r w:rsidR="00B23F73">
        <w:rPr>
          <w:rFonts w:ascii="Arial" w:hAnsi="Arial" w:cs="Arial"/>
          <w:color w:val="000000"/>
        </w:rPr>
        <w:t>, and the Council encourages all registered provider</w:t>
      </w:r>
      <w:r w:rsidR="004905C4">
        <w:rPr>
          <w:rFonts w:ascii="Arial" w:hAnsi="Arial" w:cs="Arial"/>
          <w:color w:val="000000"/>
        </w:rPr>
        <w:t>s</w:t>
      </w:r>
      <w:r w:rsidR="00B23F73">
        <w:rPr>
          <w:rFonts w:ascii="Arial" w:hAnsi="Arial" w:cs="Arial"/>
          <w:color w:val="000000"/>
        </w:rPr>
        <w:t xml:space="preserve"> </w:t>
      </w:r>
      <w:r w:rsidR="00B23F73">
        <w:rPr>
          <w:rFonts w:ascii="Arial" w:hAnsi="Arial" w:cs="Arial"/>
          <w:color w:val="000000"/>
        </w:rPr>
        <w:lastRenderedPageBreak/>
        <w:t>of social housing to</w:t>
      </w:r>
      <w:r w:rsidR="00B04A6C">
        <w:rPr>
          <w:rFonts w:ascii="Arial" w:hAnsi="Arial" w:cs="Arial"/>
          <w:color w:val="000000"/>
        </w:rPr>
        <w:t xml:space="preserve"> use </w:t>
      </w:r>
      <w:r w:rsidR="00FC5111">
        <w:rPr>
          <w:rFonts w:ascii="Arial" w:hAnsi="Arial" w:cs="Arial"/>
          <w:color w:val="000000"/>
        </w:rPr>
        <w:t xml:space="preserve">secure </w:t>
      </w:r>
      <w:r w:rsidR="00857531">
        <w:rPr>
          <w:rFonts w:ascii="Arial" w:hAnsi="Arial" w:cs="Arial"/>
          <w:color w:val="000000"/>
        </w:rPr>
        <w:t xml:space="preserve">periodic / assured tenancies </w:t>
      </w:r>
      <w:r w:rsidR="008B75E5">
        <w:rPr>
          <w:rFonts w:ascii="Arial" w:hAnsi="Arial" w:cs="Arial"/>
          <w:color w:val="000000"/>
        </w:rPr>
        <w:t xml:space="preserve">(preceded by a 12-month introductory tenancy where legislation allows) </w:t>
      </w:r>
      <w:r w:rsidR="00E3778B">
        <w:rPr>
          <w:rFonts w:ascii="Arial" w:hAnsi="Arial" w:cs="Arial"/>
          <w:color w:val="000000"/>
        </w:rPr>
        <w:t xml:space="preserve">where possible </w:t>
      </w:r>
      <w:r w:rsidR="00857531">
        <w:rPr>
          <w:rFonts w:ascii="Arial" w:hAnsi="Arial" w:cs="Arial"/>
          <w:color w:val="000000"/>
        </w:rPr>
        <w:t xml:space="preserve">when offering </w:t>
      </w:r>
      <w:r w:rsidR="008957B6">
        <w:rPr>
          <w:rFonts w:ascii="Arial" w:hAnsi="Arial" w:cs="Arial"/>
          <w:color w:val="000000"/>
        </w:rPr>
        <w:t xml:space="preserve">a tenancy on </w:t>
      </w:r>
      <w:r w:rsidR="00857531">
        <w:rPr>
          <w:rFonts w:ascii="Arial" w:hAnsi="Arial" w:cs="Arial"/>
          <w:color w:val="000000"/>
        </w:rPr>
        <w:t>Affordable Rent terms</w:t>
      </w:r>
      <w:r w:rsidR="008D65A9">
        <w:rPr>
          <w:rFonts w:ascii="Arial" w:hAnsi="Arial" w:cs="Arial"/>
          <w:color w:val="000000"/>
        </w:rPr>
        <w:t>.</w:t>
      </w:r>
    </w:p>
    <w:p w14:paraId="7898C53B" w14:textId="77777777" w:rsidR="008D65A9" w:rsidRPr="008D65A9" w:rsidRDefault="008D65A9" w:rsidP="00585001">
      <w:pPr>
        <w:pStyle w:val="ListParagraph"/>
        <w:ind w:left="0"/>
        <w:rPr>
          <w:rFonts w:ascii="Arial" w:hAnsi="Arial" w:cs="Arial"/>
          <w:color w:val="000000"/>
        </w:rPr>
      </w:pPr>
    </w:p>
    <w:p w14:paraId="17D34FB0" w14:textId="77777777" w:rsidR="008D65A9" w:rsidRDefault="00857EE7" w:rsidP="00585001">
      <w:pPr>
        <w:pStyle w:val="ListParagraph"/>
        <w:numPr>
          <w:ilvl w:val="0"/>
          <w:numId w:val="17"/>
        </w:numPr>
        <w:ind w:left="0"/>
        <w:rPr>
          <w:rFonts w:ascii="Arial" w:hAnsi="Arial" w:cs="Arial"/>
          <w:color w:val="000000"/>
        </w:rPr>
      </w:pPr>
      <w:r>
        <w:rPr>
          <w:rFonts w:ascii="Arial" w:hAnsi="Arial" w:cs="Arial"/>
          <w:color w:val="000000"/>
        </w:rPr>
        <w:t xml:space="preserve">Affordable Rent </w:t>
      </w:r>
      <w:r w:rsidR="007561CA">
        <w:rPr>
          <w:rFonts w:ascii="Arial" w:hAnsi="Arial" w:cs="Arial"/>
          <w:color w:val="000000"/>
        </w:rPr>
        <w:t>levels</w:t>
      </w:r>
      <w:r>
        <w:rPr>
          <w:rFonts w:ascii="Arial" w:hAnsi="Arial" w:cs="Arial"/>
          <w:color w:val="000000"/>
        </w:rPr>
        <w:t xml:space="preserve"> differ from </w:t>
      </w:r>
      <w:r w:rsidR="0066019E">
        <w:rPr>
          <w:rFonts w:ascii="Arial" w:hAnsi="Arial" w:cs="Arial"/>
          <w:color w:val="000000"/>
        </w:rPr>
        <w:t xml:space="preserve">Social Rent </w:t>
      </w:r>
      <w:r w:rsidR="007561CA">
        <w:rPr>
          <w:rFonts w:ascii="Arial" w:hAnsi="Arial" w:cs="Arial"/>
          <w:color w:val="000000"/>
        </w:rPr>
        <w:t>leve</w:t>
      </w:r>
      <w:r w:rsidR="00E24594">
        <w:rPr>
          <w:rFonts w:ascii="Arial" w:hAnsi="Arial" w:cs="Arial"/>
          <w:color w:val="000000"/>
        </w:rPr>
        <w:t>l</w:t>
      </w:r>
      <w:r w:rsidR="007561CA">
        <w:rPr>
          <w:rFonts w:ascii="Arial" w:hAnsi="Arial" w:cs="Arial"/>
          <w:color w:val="000000"/>
        </w:rPr>
        <w:t>s</w:t>
      </w:r>
      <w:r w:rsidR="0066019E">
        <w:rPr>
          <w:rFonts w:ascii="Arial" w:hAnsi="Arial" w:cs="Arial"/>
          <w:color w:val="000000"/>
        </w:rPr>
        <w:t xml:space="preserve"> in regard</w:t>
      </w:r>
      <w:r w:rsidR="00787D5F">
        <w:rPr>
          <w:rFonts w:ascii="Arial" w:hAnsi="Arial" w:cs="Arial"/>
          <w:color w:val="000000"/>
        </w:rPr>
        <w:t>s</w:t>
      </w:r>
      <w:r w:rsidR="0066019E">
        <w:rPr>
          <w:rFonts w:ascii="Arial" w:hAnsi="Arial" w:cs="Arial"/>
          <w:color w:val="000000"/>
        </w:rPr>
        <w:t xml:space="preserve"> to the amount of rent which a social landlord can charge the tenant as set out </w:t>
      </w:r>
      <w:r w:rsidR="007D1802">
        <w:rPr>
          <w:rFonts w:ascii="Arial" w:hAnsi="Arial" w:cs="Arial"/>
          <w:color w:val="000000"/>
        </w:rPr>
        <w:t>via</w:t>
      </w:r>
      <w:r w:rsidR="00480AB2">
        <w:rPr>
          <w:rFonts w:ascii="Arial" w:hAnsi="Arial" w:cs="Arial"/>
          <w:color w:val="000000"/>
        </w:rPr>
        <w:t xml:space="preserve"> the National Rent Formula</w:t>
      </w:r>
      <w:r w:rsidR="0066019E">
        <w:rPr>
          <w:rFonts w:ascii="Arial" w:hAnsi="Arial" w:cs="Arial"/>
          <w:color w:val="000000"/>
        </w:rPr>
        <w:t xml:space="preserve"> </w:t>
      </w:r>
      <w:r w:rsidR="007D1802">
        <w:rPr>
          <w:rFonts w:ascii="Arial" w:hAnsi="Arial" w:cs="Arial"/>
          <w:color w:val="000000"/>
        </w:rPr>
        <w:t xml:space="preserve">by </w:t>
      </w:r>
      <w:r w:rsidR="0066019E">
        <w:rPr>
          <w:rFonts w:ascii="Arial" w:hAnsi="Arial" w:cs="Arial"/>
          <w:color w:val="000000"/>
        </w:rPr>
        <w:t>the Regulator of Social Housing</w:t>
      </w:r>
      <w:r w:rsidR="004B04EE">
        <w:rPr>
          <w:rFonts w:ascii="Arial" w:hAnsi="Arial" w:cs="Arial"/>
          <w:color w:val="000000"/>
        </w:rPr>
        <w:t xml:space="preserve"> (see paragraph </w:t>
      </w:r>
      <w:r w:rsidR="00671E8F">
        <w:rPr>
          <w:rFonts w:ascii="Arial" w:hAnsi="Arial" w:cs="Arial"/>
          <w:color w:val="000000"/>
        </w:rPr>
        <w:t>23</w:t>
      </w:r>
      <w:r w:rsidR="004B04EE">
        <w:rPr>
          <w:rFonts w:ascii="Arial" w:hAnsi="Arial" w:cs="Arial"/>
          <w:color w:val="000000"/>
        </w:rPr>
        <w:t>).</w:t>
      </w:r>
      <w:r w:rsidR="0066019E">
        <w:rPr>
          <w:rFonts w:ascii="Arial" w:hAnsi="Arial" w:cs="Arial"/>
          <w:color w:val="000000"/>
        </w:rPr>
        <w:t xml:space="preserve"> </w:t>
      </w:r>
      <w:r w:rsidR="00AC2531">
        <w:rPr>
          <w:rFonts w:ascii="Arial" w:hAnsi="Arial" w:cs="Arial"/>
          <w:color w:val="000000"/>
        </w:rPr>
        <w:t xml:space="preserve"> There are different regulatory guidelines </w:t>
      </w:r>
      <w:r w:rsidR="00811077">
        <w:rPr>
          <w:rFonts w:ascii="Arial" w:hAnsi="Arial" w:cs="Arial"/>
          <w:color w:val="000000"/>
        </w:rPr>
        <w:t>between</w:t>
      </w:r>
      <w:r w:rsidR="00AC2531">
        <w:rPr>
          <w:rFonts w:ascii="Arial" w:hAnsi="Arial" w:cs="Arial"/>
          <w:color w:val="000000"/>
        </w:rPr>
        <w:t xml:space="preserve"> the setting of Social Rent and Affordable Rent</w:t>
      </w:r>
      <w:r w:rsidR="009D1F06">
        <w:rPr>
          <w:rFonts w:ascii="Arial" w:hAnsi="Arial" w:cs="Arial"/>
          <w:color w:val="000000"/>
        </w:rPr>
        <w:t xml:space="preserve"> terms</w:t>
      </w:r>
      <w:r w:rsidR="00AC2531">
        <w:rPr>
          <w:rFonts w:ascii="Arial" w:hAnsi="Arial" w:cs="Arial"/>
          <w:color w:val="000000"/>
        </w:rPr>
        <w:t>.</w:t>
      </w:r>
    </w:p>
    <w:p w14:paraId="20A4D21B" w14:textId="77777777" w:rsidR="00F26F16" w:rsidRPr="00F26F16" w:rsidRDefault="00F26F16" w:rsidP="00585001">
      <w:pPr>
        <w:pStyle w:val="ListParagraph"/>
        <w:ind w:left="0"/>
        <w:rPr>
          <w:rFonts w:ascii="Arial" w:hAnsi="Arial" w:cs="Arial"/>
          <w:color w:val="000000"/>
        </w:rPr>
      </w:pPr>
    </w:p>
    <w:p w14:paraId="6E1D0E01" w14:textId="77777777" w:rsidR="00027C3C" w:rsidRPr="00391B37" w:rsidRDefault="00BD4DF9" w:rsidP="00585001">
      <w:pPr>
        <w:pStyle w:val="ListParagraph"/>
        <w:numPr>
          <w:ilvl w:val="0"/>
          <w:numId w:val="17"/>
        </w:numPr>
        <w:ind w:left="0"/>
        <w:rPr>
          <w:rFonts w:ascii="Arial" w:hAnsi="Arial" w:cs="Arial"/>
          <w:color w:val="000000"/>
        </w:rPr>
      </w:pPr>
      <w:r w:rsidRPr="00642878">
        <w:rPr>
          <w:rFonts w:ascii="Arial" w:hAnsi="Arial" w:cs="Arial"/>
          <w:color w:val="000000"/>
        </w:rPr>
        <w:t xml:space="preserve">All Affordable Rent levels </w:t>
      </w:r>
      <w:r w:rsidR="00A17CF0">
        <w:rPr>
          <w:rFonts w:ascii="Arial" w:hAnsi="Arial" w:cs="Arial"/>
          <w:color w:val="000000"/>
        </w:rPr>
        <w:t>are</w:t>
      </w:r>
      <w:r w:rsidR="00A821E1" w:rsidRPr="00642878">
        <w:rPr>
          <w:rFonts w:ascii="Arial" w:hAnsi="Arial" w:cs="Arial"/>
          <w:color w:val="000000"/>
        </w:rPr>
        <w:t xml:space="preserve"> outlined in the </w:t>
      </w:r>
      <w:r w:rsidR="00186B8F">
        <w:rPr>
          <w:rFonts w:ascii="Arial" w:hAnsi="Arial" w:cs="Arial"/>
          <w:color w:val="000000"/>
        </w:rPr>
        <w:t xml:space="preserve">annual </w:t>
      </w:r>
      <w:r w:rsidR="003168DC" w:rsidRPr="00642878">
        <w:rPr>
          <w:rFonts w:ascii="Arial" w:hAnsi="Arial" w:cs="Arial"/>
          <w:color w:val="000000"/>
        </w:rPr>
        <w:t xml:space="preserve">Affordable Housing Update </w:t>
      </w:r>
      <w:r w:rsidR="00A17CF0">
        <w:rPr>
          <w:rFonts w:ascii="Arial" w:hAnsi="Arial" w:cs="Arial"/>
          <w:color w:val="000000"/>
        </w:rPr>
        <w:t xml:space="preserve">produced by the Council which </w:t>
      </w:r>
      <w:r w:rsidR="00A821E1" w:rsidRPr="00642878">
        <w:rPr>
          <w:rFonts w:ascii="Arial" w:hAnsi="Arial" w:cs="Arial"/>
          <w:color w:val="000000"/>
        </w:rPr>
        <w:t xml:space="preserve">are </w:t>
      </w:r>
      <w:r w:rsidR="00A17CF0">
        <w:rPr>
          <w:rFonts w:ascii="Arial" w:hAnsi="Arial" w:cs="Arial"/>
          <w:color w:val="000000"/>
        </w:rPr>
        <w:t xml:space="preserve">sent </w:t>
      </w:r>
      <w:r w:rsidR="00186B8F">
        <w:rPr>
          <w:rFonts w:ascii="Arial" w:hAnsi="Arial" w:cs="Arial"/>
          <w:color w:val="000000"/>
        </w:rPr>
        <w:t xml:space="preserve">for </w:t>
      </w:r>
      <w:r w:rsidR="003C0618" w:rsidRPr="00642878">
        <w:rPr>
          <w:rFonts w:ascii="Arial" w:hAnsi="Arial" w:cs="Arial"/>
          <w:color w:val="000000"/>
        </w:rPr>
        <w:t>approv</w:t>
      </w:r>
      <w:r w:rsidR="00186B8F">
        <w:rPr>
          <w:rFonts w:ascii="Arial" w:hAnsi="Arial" w:cs="Arial"/>
          <w:color w:val="000000"/>
        </w:rPr>
        <w:t>al at</w:t>
      </w:r>
      <w:r w:rsidR="00A821E1" w:rsidRPr="00642878">
        <w:rPr>
          <w:rFonts w:ascii="Arial" w:hAnsi="Arial" w:cs="Arial"/>
          <w:color w:val="000000"/>
        </w:rPr>
        <w:t xml:space="preserve"> the </w:t>
      </w:r>
      <w:r w:rsidR="00BB1248" w:rsidRPr="00642878">
        <w:rPr>
          <w:rFonts w:ascii="Arial" w:hAnsi="Arial" w:cs="Arial"/>
          <w:color w:val="000000"/>
        </w:rPr>
        <w:t xml:space="preserve">Housing Committee in June.  This contains </w:t>
      </w:r>
      <w:r w:rsidR="00BB1248" w:rsidRPr="00642878">
        <w:rPr>
          <w:rFonts w:ascii="Arial" w:hAnsi="Arial" w:cs="Arial"/>
        </w:rPr>
        <w:t xml:space="preserve">the latest ‘Capped Affordable Rent’ and ‘Discounted Affordable Rent’ figures </w:t>
      </w:r>
      <w:r w:rsidR="00642878">
        <w:rPr>
          <w:rFonts w:ascii="Arial" w:hAnsi="Arial" w:cs="Arial"/>
        </w:rPr>
        <w:t>(</w:t>
      </w:r>
      <w:r w:rsidR="00642878" w:rsidRPr="00642878">
        <w:rPr>
          <w:rFonts w:ascii="Arial" w:hAnsi="Arial" w:cs="Arial"/>
        </w:rPr>
        <w:t>reflecting the latest GLA requirements</w:t>
      </w:r>
      <w:r w:rsidR="00642878">
        <w:rPr>
          <w:rFonts w:ascii="Arial" w:hAnsi="Arial" w:cs="Arial"/>
        </w:rPr>
        <w:t>).</w:t>
      </w:r>
      <w:r w:rsidR="00431D57">
        <w:rPr>
          <w:rFonts w:ascii="Arial" w:hAnsi="Arial" w:cs="Arial"/>
        </w:rPr>
        <w:t xml:space="preserve">  </w:t>
      </w:r>
    </w:p>
    <w:p w14:paraId="6BAF1F0B" w14:textId="77777777" w:rsidR="00DE25D1" w:rsidRDefault="00DE25D1" w:rsidP="00585001">
      <w:pPr>
        <w:pStyle w:val="ListParagraph"/>
        <w:ind w:left="0"/>
      </w:pPr>
    </w:p>
    <w:p w14:paraId="3846CB61" w14:textId="77777777" w:rsidR="00DE25D1" w:rsidRPr="00DE25D1" w:rsidRDefault="00DE25D1" w:rsidP="00DE25D1">
      <w:pPr>
        <w:pStyle w:val="ListParagraph"/>
        <w:numPr>
          <w:ilvl w:val="0"/>
          <w:numId w:val="17"/>
        </w:numPr>
        <w:ind w:left="0"/>
        <w:rPr>
          <w:rFonts w:ascii="Arial" w:hAnsi="Arial" w:cs="Arial"/>
          <w:color w:val="000000"/>
        </w:rPr>
      </w:pPr>
      <w:r w:rsidRPr="007561CA">
        <w:rPr>
          <w:rFonts w:ascii="Arial" w:hAnsi="Arial" w:cs="Arial"/>
        </w:rPr>
        <w:t xml:space="preserve">The Council expects registered providers to ensure that affordable housing rents in Wandsworth are set with regard to the Affordable Rent levels approved by Wandsworth Council in the Affordable Housing Update reported to committee annually or at such other rent levels as may be agreed with the Council. </w:t>
      </w:r>
      <w:r>
        <w:rPr>
          <w:rFonts w:ascii="Arial" w:hAnsi="Arial" w:cs="Arial"/>
        </w:rPr>
        <w:t xml:space="preserve"> </w:t>
      </w:r>
      <w:r w:rsidRPr="007561CA">
        <w:rPr>
          <w:rFonts w:ascii="Arial" w:hAnsi="Arial" w:cs="Arial"/>
        </w:rPr>
        <w:t xml:space="preserve">Any Affordable Rent levels that are set for Wandsworth should be discussed with the Council’s Head of Housing </w:t>
      </w:r>
      <w:r w:rsidR="001B422D">
        <w:rPr>
          <w:rFonts w:ascii="Arial" w:hAnsi="Arial" w:cs="Arial"/>
        </w:rPr>
        <w:t>Enabling and Special Projects</w:t>
      </w:r>
      <w:r w:rsidRPr="007561CA">
        <w:rPr>
          <w:rFonts w:ascii="Arial" w:hAnsi="Arial" w:cs="Arial"/>
        </w:rPr>
        <w:t xml:space="preserve">. </w:t>
      </w:r>
    </w:p>
    <w:p w14:paraId="0EF50EC0" w14:textId="77777777" w:rsidR="00DE25D1" w:rsidRDefault="00DE25D1" w:rsidP="00DE25D1">
      <w:pPr>
        <w:pStyle w:val="ListParagraph"/>
        <w:ind w:left="0"/>
        <w:rPr>
          <w:rFonts w:ascii="Arial" w:hAnsi="Arial" w:cs="Arial"/>
          <w:color w:val="000000"/>
        </w:rPr>
      </w:pPr>
    </w:p>
    <w:p w14:paraId="6A438C4D" w14:textId="77777777" w:rsidR="00595EC5" w:rsidRPr="003402E9" w:rsidRDefault="00595EC5" w:rsidP="003402E9">
      <w:pPr>
        <w:pStyle w:val="ListParagraph"/>
        <w:ind w:left="-567" w:right="-874" w:firstLine="567"/>
        <w:rPr>
          <w:rFonts w:ascii="Arial" w:hAnsi="Arial" w:cs="Arial"/>
          <w:bCs/>
        </w:rPr>
      </w:pPr>
      <w:r w:rsidRPr="00595EC5">
        <w:rPr>
          <w:rFonts w:ascii="Arial" w:hAnsi="Arial" w:cs="Arial"/>
          <w:bCs/>
          <w:color w:val="000000"/>
          <w:u w:val="single"/>
        </w:rPr>
        <w:t xml:space="preserve">Tenancies for </w:t>
      </w:r>
      <w:r w:rsidR="00B20795">
        <w:rPr>
          <w:rFonts w:ascii="Arial" w:hAnsi="Arial" w:cs="Arial"/>
          <w:bCs/>
          <w:color w:val="000000"/>
          <w:u w:val="single"/>
        </w:rPr>
        <w:t xml:space="preserve">applicants who were already social </w:t>
      </w:r>
      <w:r w:rsidRPr="00595EC5">
        <w:rPr>
          <w:rFonts w:ascii="Arial" w:hAnsi="Arial" w:cs="Arial"/>
          <w:bCs/>
          <w:color w:val="000000"/>
          <w:u w:val="single"/>
        </w:rPr>
        <w:t xml:space="preserve">housing </w:t>
      </w:r>
      <w:r w:rsidR="005B675A">
        <w:rPr>
          <w:rFonts w:ascii="Arial" w:hAnsi="Arial" w:cs="Arial"/>
          <w:bCs/>
          <w:color w:val="000000"/>
          <w:u w:val="single"/>
        </w:rPr>
        <w:t>as at</w:t>
      </w:r>
      <w:r w:rsidR="003402E9">
        <w:rPr>
          <w:rFonts w:ascii="Arial" w:hAnsi="Arial" w:cs="Arial"/>
          <w:bCs/>
          <w:color w:val="000000"/>
          <w:u w:val="single"/>
        </w:rPr>
        <w:t xml:space="preserve"> </w:t>
      </w:r>
      <w:r w:rsidRPr="003402E9">
        <w:rPr>
          <w:rFonts w:ascii="Arial" w:hAnsi="Arial" w:cs="Arial"/>
          <w:bCs/>
          <w:color w:val="000000"/>
          <w:u w:val="single"/>
        </w:rPr>
        <w:t>1st April 2012</w:t>
      </w:r>
    </w:p>
    <w:p w14:paraId="3C6A5AC9" w14:textId="77777777" w:rsidR="00DE25D1" w:rsidRDefault="00DE25D1" w:rsidP="00DE25D1">
      <w:pPr>
        <w:pStyle w:val="ListParagraph"/>
        <w:ind w:left="0"/>
        <w:rPr>
          <w:rFonts w:ascii="Arial" w:hAnsi="Arial" w:cs="Arial"/>
          <w:color w:val="000000"/>
        </w:rPr>
      </w:pPr>
    </w:p>
    <w:p w14:paraId="5729B1AD" w14:textId="77777777" w:rsidR="00C35B30" w:rsidRPr="00276B08" w:rsidRDefault="00C35B30" w:rsidP="00276B08">
      <w:pPr>
        <w:pStyle w:val="ListParagraph"/>
        <w:numPr>
          <w:ilvl w:val="0"/>
          <w:numId w:val="17"/>
        </w:numPr>
        <w:ind w:left="0"/>
        <w:rPr>
          <w:rFonts w:ascii="Arial" w:hAnsi="Arial" w:cs="Arial"/>
          <w:color w:val="000000"/>
        </w:rPr>
      </w:pPr>
      <w:r w:rsidRPr="00492E92">
        <w:rPr>
          <w:rFonts w:ascii="Arial" w:hAnsi="Arial" w:cs="Arial"/>
          <w:color w:val="000000"/>
        </w:rPr>
        <w:t xml:space="preserve">The Council </w:t>
      </w:r>
      <w:r w:rsidR="00683825" w:rsidRPr="00492E92">
        <w:rPr>
          <w:rFonts w:ascii="Arial" w:hAnsi="Arial" w:cs="Arial"/>
          <w:color w:val="000000"/>
        </w:rPr>
        <w:t xml:space="preserve">encourages registered providers of social housing to offer </w:t>
      </w:r>
      <w:r w:rsidR="00C219F3" w:rsidRPr="00492E92">
        <w:rPr>
          <w:rFonts w:ascii="Arial" w:hAnsi="Arial" w:cs="Arial"/>
          <w:color w:val="000000"/>
        </w:rPr>
        <w:t xml:space="preserve">only </w:t>
      </w:r>
      <w:r w:rsidRPr="00492E92">
        <w:rPr>
          <w:rFonts w:ascii="Arial" w:hAnsi="Arial" w:cs="Arial"/>
          <w:color w:val="000000"/>
        </w:rPr>
        <w:t xml:space="preserve">secure periodic / assured tenancies </w:t>
      </w:r>
      <w:r w:rsidR="00CA5C3F" w:rsidRPr="00492E92">
        <w:rPr>
          <w:rFonts w:ascii="Arial" w:hAnsi="Arial" w:cs="Arial"/>
          <w:color w:val="000000"/>
        </w:rPr>
        <w:t>to</w:t>
      </w:r>
      <w:r w:rsidRPr="00492E92">
        <w:rPr>
          <w:rFonts w:ascii="Arial" w:hAnsi="Arial" w:cs="Arial"/>
          <w:color w:val="000000"/>
        </w:rPr>
        <w:t xml:space="preserve"> </w:t>
      </w:r>
      <w:r w:rsidR="00C66E21" w:rsidRPr="00492E92">
        <w:rPr>
          <w:rFonts w:ascii="Arial" w:hAnsi="Arial" w:cs="Arial"/>
          <w:color w:val="000000"/>
        </w:rPr>
        <w:t xml:space="preserve">all </w:t>
      </w:r>
      <w:r w:rsidR="00C219F3" w:rsidRPr="00492E92">
        <w:rPr>
          <w:rFonts w:ascii="Arial" w:hAnsi="Arial" w:cs="Arial"/>
          <w:color w:val="000000"/>
        </w:rPr>
        <w:t xml:space="preserve">existing </w:t>
      </w:r>
      <w:r w:rsidR="00683825" w:rsidRPr="00492E92">
        <w:rPr>
          <w:rFonts w:ascii="Arial" w:hAnsi="Arial" w:cs="Arial"/>
          <w:color w:val="000000"/>
        </w:rPr>
        <w:t>so</w:t>
      </w:r>
      <w:r w:rsidR="00CA5C3F" w:rsidRPr="00492E92">
        <w:rPr>
          <w:rFonts w:ascii="Arial" w:hAnsi="Arial" w:cs="Arial"/>
          <w:color w:val="000000"/>
        </w:rPr>
        <w:t>cial housing tenants</w:t>
      </w:r>
      <w:r w:rsidR="0049423B" w:rsidRPr="00492E92">
        <w:rPr>
          <w:rFonts w:ascii="Arial" w:hAnsi="Arial" w:cs="Arial"/>
          <w:color w:val="000000"/>
        </w:rPr>
        <w:t>, regardless of when they became a social housing tenan</w:t>
      </w:r>
      <w:r w:rsidR="005A52A5" w:rsidRPr="00492E92">
        <w:rPr>
          <w:rFonts w:ascii="Arial" w:hAnsi="Arial" w:cs="Arial"/>
          <w:color w:val="000000"/>
        </w:rPr>
        <w:t>t</w:t>
      </w:r>
      <w:r w:rsidR="00C26302" w:rsidRPr="00492E92">
        <w:rPr>
          <w:rFonts w:ascii="Arial" w:hAnsi="Arial" w:cs="Arial"/>
          <w:color w:val="000000"/>
        </w:rPr>
        <w:t>,</w:t>
      </w:r>
      <w:r w:rsidR="005F4B14" w:rsidRPr="00492E92">
        <w:rPr>
          <w:rFonts w:ascii="Arial" w:hAnsi="Arial" w:cs="Arial"/>
          <w:color w:val="000000"/>
        </w:rPr>
        <w:t xml:space="preserve"> and to only </w:t>
      </w:r>
      <w:r w:rsidR="00FE6EA4" w:rsidRPr="00492E92">
        <w:rPr>
          <w:rFonts w:ascii="Arial" w:hAnsi="Arial" w:cs="Arial"/>
          <w:color w:val="000000"/>
        </w:rPr>
        <w:t xml:space="preserve">offer a </w:t>
      </w:r>
      <w:r w:rsidR="00806D45">
        <w:rPr>
          <w:rFonts w:ascii="Arial" w:hAnsi="Arial" w:cs="Arial"/>
          <w:color w:val="000000"/>
        </w:rPr>
        <w:t xml:space="preserve">flexible </w:t>
      </w:r>
      <w:r w:rsidR="00FE6EA4" w:rsidRPr="00492E92">
        <w:rPr>
          <w:rFonts w:ascii="Arial" w:hAnsi="Arial" w:cs="Arial"/>
          <w:color w:val="000000"/>
        </w:rPr>
        <w:t xml:space="preserve">fixed term tenancy under exceptional circumstances </w:t>
      </w:r>
      <w:r w:rsidR="00E17E23" w:rsidRPr="00492E92">
        <w:rPr>
          <w:rFonts w:ascii="Arial" w:hAnsi="Arial" w:cs="Arial"/>
          <w:color w:val="000000"/>
        </w:rPr>
        <w:t xml:space="preserve">as set out in </w:t>
      </w:r>
      <w:r w:rsidR="00806D45" w:rsidRPr="00665F7B">
        <w:rPr>
          <w:rFonts w:ascii="Arial" w:hAnsi="Arial" w:cs="Arial"/>
          <w:color w:val="000000"/>
        </w:rPr>
        <w:t>paragraphs 10 to 11.</w:t>
      </w:r>
      <w:r w:rsidR="00E17E23" w:rsidRPr="00492E92">
        <w:rPr>
          <w:rFonts w:ascii="Arial" w:hAnsi="Arial" w:cs="Arial"/>
          <w:color w:val="000000"/>
        </w:rPr>
        <w:t xml:space="preserve"> </w:t>
      </w:r>
      <w:r w:rsidR="00806D45">
        <w:rPr>
          <w:rFonts w:ascii="Arial" w:hAnsi="Arial" w:cs="Arial"/>
          <w:color w:val="000000"/>
        </w:rPr>
        <w:t xml:space="preserve"> </w:t>
      </w:r>
      <w:r w:rsidR="00642F7A">
        <w:rPr>
          <w:rFonts w:ascii="Arial" w:hAnsi="Arial" w:cs="Arial"/>
          <w:color w:val="000000"/>
        </w:rPr>
        <w:t>In all instances,</w:t>
      </w:r>
      <w:r w:rsidR="00C137EC" w:rsidRPr="00276B08">
        <w:rPr>
          <w:rFonts w:ascii="Arial" w:hAnsi="Arial" w:cs="Arial"/>
          <w:color w:val="000000"/>
        </w:rPr>
        <w:t xml:space="preserve"> a registered provider of social housing must follow </w:t>
      </w:r>
      <w:r w:rsidR="0008456E" w:rsidRPr="00276B08">
        <w:rPr>
          <w:rFonts w:ascii="Arial" w:hAnsi="Arial" w:cs="Arial"/>
          <w:color w:val="000000"/>
        </w:rPr>
        <w:t>the Regulatory Framework for Social Housing in England (see below).</w:t>
      </w:r>
      <w:r w:rsidR="00227F36" w:rsidRPr="00276B08">
        <w:rPr>
          <w:rFonts w:ascii="Arial" w:hAnsi="Arial" w:cs="Arial"/>
          <w:color w:val="000000"/>
        </w:rPr>
        <w:t xml:space="preserve"> </w:t>
      </w:r>
    </w:p>
    <w:p w14:paraId="75921FD2" w14:textId="77777777" w:rsidR="00C35B30" w:rsidRDefault="00C35B30" w:rsidP="00C35B30">
      <w:pPr>
        <w:pStyle w:val="ListParagraph"/>
        <w:ind w:left="0"/>
        <w:rPr>
          <w:rFonts w:ascii="Arial" w:hAnsi="Arial" w:cs="Arial"/>
          <w:color w:val="000000"/>
        </w:rPr>
      </w:pPr>
    </w:p>
    <w:p w14:paraId="01DBC3AA" w14:textId="77777777" w:rsidR="00595EC5" w:rsidRDefault="00595EC5" w:rsidP="00595EC5">
      <w:pPr>
        <w:pStyle w:val="ListParagraph"/>
        <w:numPr>
          <w:ilvl w:val="0"/>
          <w:numId w:val="17"/>
        </w:numPr>
        <w:ind w:left="0"/>
        <w:rPr>
          <w:rFonts w:ascii="Arial" w:hAnsi="Arial" w:cs="Arial"/>
          <w:color w:val="000000"/>
        </w:rPr>
      </w:pPr>
      <w:r>
        <w:rPr>
          <w:rFonts w:ascii="Arial" w:hAnsi="Arial" w:cs="Arial"/>
          <w:color w:val="000000"/>
        </w:rPr>
        <w:t xml:space="preserve">Where </w:t>
      </w:r>
      <w:r w:rsidRPr="008548D9">
        <w:rPr>
          <w:rFonts w:ascii="Arial" w:hAnsi="Arial" w:cs="Arial"/>
          <w:color w:val="000000"/>
        </w:rPr>
        <w:t xml:space="preserve">registered providers of social housing offer a tenancy on Social Rent terms to an applicant who was already a social housing tenant as at 1st April 2012 and has remained a social </w:t>
      </w:r>
      <w:r>
        <w:rPr>
          <w:rFonts w:ascii="Arial" w:hAnsi="Arial" w:cs="Arial"/>
          <w:color w:val="000000"/>
        </w:rPr>
        <w:t>housing tenant since that date:</w:t>
      </w:r>
    </w:p>
    <w:p w14:paraId="66EDF459" w14:textId="77777777" w:rsidR="00595EC5" w:rsidRDefault="00595EC5" w:rsidP="00595EC5">
      <w:pPr>
        <w:rPr>
          <w:rFonts w:ascii="Arial" w:hAnsi="Arial" w:cs="Arial"/>
          <w:color w:val="000000"/>
        </w:rPr>
      </w:pPr>
    </w:p>
    <w:p w14:paraId="51C3DEE3" w14:textId="77777777" w:rsidR="00595EC5" w:rsidRPr="002D1A0D" w:rsidRDefault="00595EC5" w:rsidP="00595EC5">
      <w:pPr>
        <w:pStyle w:val="ListParagraph"/>
        <w:numPr>
          <w:ilvl w:val="0"/>
          <w:numId w:val="13"/>
        </w:numPr>
        <w:ind w:right="-874"/>
        <w:rPr>
          <w:rFonts w:ascii="Arial" w:hAnsi="Arial" w:cs="Arial"/>
          <w:color w:val="000000"/>
          <w:u w:val="single"/>
        </w:rPr>
      </w:pPr>
      <w:r>
        <w:rPr>
          <w:rFonts w:ascii="Arial" w:hAnsi="Arial" w:cs="Arial"/>
          <w:color w:val="000000"/>
        </w:rPr>
        <w:t xml:space="preserve">The Regulatory Framework for Social Housing in England requires them to offer a tenancy with no less security of tenure. </w:t>
      </w:r>
    </w:p>
    <w:p w14:paraId="624A922A" w14:textId="77777777" w:rsidR="00595EC5" w:rsidRPr="00F040F7" w:rsidRDefault="00595EC5" w:rsidP="00595EC5">
      <w:pPr>
        <w:pStyle w:val="ListParagraph"/>
        <w:ind w:left="540" w:right="-874"/>
        <w:rPr>
          <w:rFonts w:ascii="Arial" w:hAnsi="Arial" w:cs="Arial"/>
          <w:color w:val="000000"/>
          <w:u w:val="single"/>
        </w:rPr>
      </w:pPr>
    </w:p>
    <w:p w14:paraId="61D63E15" w14:textId="77777777" w:rsidR="00595EC5" w:rsidRDefault="00595EC5" w:rsidP="00595EC5">
      <w:pPr>
        <w:pStyle w:val="ListParagraph"/>
        <w:numPr>
          <w:ilvl w:val="0"/>
          <w:numId w:val="17"/>
        </w:numPr>
        <w:ind w:left="0"/>
        <w:rPr>
          <w:rFonts w:ascii="Arial" w:hAnsi="Arial" w:cs="Arial"/>
          <w:color w:val="000000"/>
        </w:rPr>
      </w:pPr>
      <w:r w:rsidRPr="00F040F7">
        <w:rPr>
          <w:rFonts w:ascii="Arial" w:hAnsi="Arial" w:cs="Arial"/>
          <w:color w:val="000000"/>
        </w:rPr>
        <w:t xml:space="preserve">Where registered providers of social housing offer a tenancy on Affordable Rent </w:t>
      </w:r>
      <w:r w:rsidR="00AD30E3" w:rsidRPr="00F040F7">
        <w:rPr>
          <w:rFonts w:ascii="Arial" w:hAnsi="Arial" w:cs="Arial"/>
          <w:color w:val="000000"/>
        </w:rPr>
        <w:t>terms,</w:t>
      </w:r>
      <w:r w:rsidRPr="00F040F7">
        <w:rPr>
          <w:rFonts w:ascii="Arial" w:hAnsi="Arial" w:cs="Arial"/>
          <w:color w:val="000000"/>
        </w:rPr>
        <w:t xml:space="preserve"> </w:t>
      </w:r>
      <w:r>
        <w:rPr>
          <w:rFonts w:ascii="Arial" w:hAnsi="Arial" w:cs="Arial"/>
          <w:color w:val="000000"/>
        </w:rPr>
        <w:t xml:space="preserve">they must consider the following if the applicant was already a social </w:t>
      </w:r>
      <w:r w:rsidRPr="00F040F7">
        <w:rPr>
          <w:rFonts w:ascii="Arial" w:hAnsi="Arial" w:cs="Arial"/>
          <w:color w:val="000000"/>
        </w:rPr>
        <w:t xml:space="preserve">housing tenant </w:t>
      </w:r>
      <w:r>
        <w:rPr>
          <w:rFonts w:ascii="Arial" w:hAnsi="Arial" w:cs="Arial"/>
          <w:color w:val="000000"/>
        </w:rPr>
        <w:t>as at 1</w:t>
      </w:r>
      <w:r w:rsidRPr="00DB23A6">
        <w:rPr>
          <w:rFonts w:ascii="Arial" w:hAnsi="Arial" w:cs="Arial"/>
          <w:color w:val="000000"/>
          <w:vertAlign w:val="superscript"/>
        </w:rPr>
        <w:t>st</w:t>
      </w:r>
      <w:r>
        <w:rPr>
          <w:rFonts w:ascii="Arial" w:hAnsi="Arial" w:cs="Arial"/>
          <w:color w:val="000000"/>
        </w:rPr>
        <w:t xml:space="preserve"> April 2012 and has remained a social housing tenant since that </w:t>
      </w:r>
      <w:r w:rsidRPr="00F040F7">
        <w:rPr>
          <w:rFonts w:ascii="Arial" w:hAnsi="Arial" w:cs="Arial"/>
          <w:color w:val="000000"/>
        </w:rPr>
        <w:t>date:</w:t>
      </w:r>
    </w:p>
    <w:p w14:paraId="731889E3" w14:textId="77777777" w:rsidR="00595EC5" w:rsidRDefault="00595EC5" w:rsidP="00595EC5">
      <w:pPr>
        <w:rPr>
          <w:rFonts w:ascii="Arial" w:hAnsi="Arial" w:cs="Arial"/>
          <w:color w:val="000000"/>
        </w:rPr>
      </w:pPr>
    </w:p>
    <w:p w14:paraId="0F6EB6A3" w14:textId="77777777" w:rsidR="00595EC5" w:rsidRPr="00AA4414" w:rsidRDefault="00595EC5" w:rsidP="00595EC5">
      <w:pPr>
        <w:pStyle w:val="ListParagraph"/>
        <w:numPr>
          <w:ilvl w:val="0"/>
          <w:numId w:val="13"/>
        </w:numPr>
        <w:ind w:right="-874"/>
        <w:rPr>
          <w:rFonts w:ascii="Arial" w:hAnsi="Arial" w:cs="Arial"/>
          <w:color w:val="000000"/>
        </w:rPr>
      </w:pPr>
      <w:r w:rsidRPr="00AA4414">
        <w:rPr>
          <w:rFonts w:ascii="Arial" w:hAnsi="Arial" w:cs="Arial"/>
          <w:color w:val="000000"/>
        </w:rPr>
        <w:t>There is no regulatory requirement that a tenancy with no less security of tenure must be offered where the tenant chooses to move; but</w:t>
      </w:r>
    </w:p>
    <w:p w14:paraId="256157B8" w14:textId="77777777" w:rsidR="005636E3" w:rsidRDefault="00595EC5" w:rsidP="00053F7E">
      <w:pPr>
        <w:pStyle w:val="ListParagraph"/>
        <w:numPr>
          <w:ilvl w:val="0"/>
          <w:numId w:val="13"/>
        </w:numPr>
        <w:ind w:right="-874"/>
        <w:rPr>
          <w:rFonts w:ascii="Arial" w:hAnsi="Arial" w:cs="Arial"/>
          <w:color w:val="000000"/>
        </w:rPr>
      </w:pPr>
      <w:r w:rsidRPr="00AA4414">
        <w:rPr>
          <w:rFonts w:ascii="Arial" w:hAnsi="Arial" w:cs="Arial"/>
          <w:color w:val="000000"/>
        </w:rPr>
        <w:t>The Regulatory Framework for Social Housing in England requires them to grant tenants who have moved into alternative accommodation during any redevelopment or other works a tenancy with no less security of tenure on their return to settled accommodation</w:t>
      </w:r>
      <w:r w:rsidR="00053F7E">
        <w:rPr>
          <w:rFonts w:ascii="Arial" w:hAnsi="Arial" w:cs="Arial"/>
          <w:color w:val="000000"/>
        </w:rPr>
        <w:t>.</w:t>
      </w:r>
    </w:p>
    <w:p w14:paraId="226EF2C8" w14:textId="77777777" w:rsidR="009A54D6" w:rsidRPr="007068DA" w:rsidRDefault="009A54D6" w:rsidP="007068DA">
      <w:pPr>
        <w:ind w:right="-874"/>
        <w:rPr>
          <w:rFonts w:ascii="Arial" w:hAnsi="Arial" w:cs="Arial"/>
          <w:color w:val="000000"/>
        </w:rPr>
      </w:pPr>
    </w:p>
    <w:p w14:paraId="15649A55" w14:textId="77777777" w:rsidR="000768F4" w:rsidRPr="000768F4" w:rsidRDefault="000768F4" w:rsidP="00585001">
      <w:pPr>
        <w:ind w:right="-874"/>
        <w:rPr>
          <w:rFonts w:ascii="Arial" w:hAnsi="Arial" w:cs="Arial"/>
          <w:b/>
          <w:u w:val="single"/>
        </w:rPr>
      </w:pPr>
      <w:r w:rsidRPr="001B3B1B">
        <w:rPr>
          <w:rFonts w:ascii="Arial" w:hAnsi="Arial" w:cs="Arial"/>
          <w:b/>
          <w:u w:val="single"/>
        </w:rPr>
        <w:t>Granting discretionary succession rights</w:t>
      </w:r>
    </w:p>
    <w:p w14:paraId="4F8160C8" w14:textId="77777777" w:rsidR="000768F4" w:rsidRPr="000768F4" w:rsidRDefault="000768F4" w:rsidP="00585001">
      <w:pPr>
        <w:ind w:right="-874"/>
        <w:rPr>
          <w:rFonts w:ascii="Arial" w:hAnsi="Arial" w:cs="Arial"/>
        </w:rPr>
      </w:pPr>
    </w:p>
    <w:p w14:paraId="316AB173" w14:textId="77777777" w:rsidR="000768F4" w:rsidRPr="000768F4" w:rsidRDefault="000768F4" w:rsidP="00585001">
      <w:pPr>
        <w:numPr>
          <w:ilvl w:val="0"/>
          <w:numId w:val="17"/>
        </w:numPr>
        <w:tabs>
          <w:tab w:val="num" w:pos="-540"/>
        </w:tabs>
        <w:ind w:left="0" w:right="-874"/>
        <w:rPr>
          <w:rFonts w:ascii="Arial" w:hAnsi="Arial" w:cs="Arial"/>
        </w:rPr>
      </w:pPr>
      <w:r w:rsidRPr="000768F4">
        <w:rPr>
          <w:rFonts w:ascii="Arial" w:hAnsi="Arial" w:cs="Arial"/>
        </w:rPr>
        <w:t>For tenancies that started after 1st April 2012 there is a statutory right to only one succession for spouses and civil partners (and people who were living with the tenant as if they were their spouse or civil partner) i.e. when the tenant dies, their spouse or civil partner (or person who was living with them as if they were their spouse or civil partner) can by law succeed the deceased tenant (take over their tenancy) provided that they were occupying the property as their only or principal home at the time of the tenant’s death and the deceased tenant did not succeed the previous tenant.</w:t>
      </w:r>
    </w:p>
    <w:p w14:paraId="6526459E" w14:textId="77777777" w:rsidR="00A75422" w:rsidRPr="001B3B1B" w:rsidRDefault="00A75422" w:rsidP="00585001">
      <w:pPr>
        <w:ind w:right="-874"/>
        <w:rPr>
          <w:rFonts w:ascii="Arial" w:hAnsi="Arial" w:cs="Arial"/>
        </w:rPr>
      </w:pPr>
    </w:p>
    <w:p w14:paraId="0849AB20" w14:textId="77777777" w:rsidR="00A75422" w:rsidRPr="001B3B1B" w:rsidRDefault="00A75422" w:rsidP="00585001">
      <w:pPr>
        <w:numPr>
          <w:ilvl w:val="0"/>
          <w:numId w:val="17"/>
        </w:numPr>
        <w:tabs>
          <w:tab w:val="num" w:pos="-540"/>
        </w:tabs>
        <w:ind w:left="0" w:right="-874"/>
        <w:rPr>
          <w:rFonts w:ascii="Arial" w:hAnsi="Arial" w:cs="Arial"/>
        </w:rPr>
      </w:pPr>
      <w:r w:rsidRPr="001B3B1B">
        <w:rPr>
          <w:rFonts w:ascii="Arial" w:hAnsi="Arial" w:cs="Arial"/>
        </w:rPr>
        <w:t xml:space="preserve">However, </w:t>
      </w:r>
      <w:r w:rsidR="00637280">
        <w:rPr>
          <w:rFonts w:ascii="Arial" w:hAnsi="Arial" w:cs="Arial"/>
        </w:rPr>
        <w:t xml:space="preserve">all </w:t>
      </w:r>
      <w:r w:rsidRPr="001B3B1B">
        <w:rPr>
          <w:rFonts w:ascii="Arial" w:hAnsi="Arial" w:cs="Arial"/>
        </w:rPr>
        <w:t>registered providers of social housing can choose to grant additional succession rights in tenancy agreements to:</w:t>
      </w:r>
    </w:p>
    <w:p w14:paraId="0D368D3F" w14:textId="77777777" w:rsidR="00A75422" w:rsidRPr="001B3B1B" w:rsidRDefault="00A75422" w:rsidP="00585001">
      <w:pPr>
        <w:ind w:right="-874"/>
        <w:rPr>
          <w:rFonts w:ascii="Arial" w:hAnsi="Arial" w:cs="Arial"/>
        </w:rPr>
      </w:pPr>
    </w:p>
    <w:p w14:paraId="00D55A38" w14:textId="77777777" w:rsidR="004A7DB6" w:rsidRDefault="00A75422" w:rsidP="004A7DB6">
      <w:pPr>
        <w:numPr>
          <w:ilvl w:val="1"/>
          <w:numId w:val="17"/>
        </w:numPr>
        <w:ind w:left="641" w:hanging="357"/>
        <w:rPr>
          <w:rFonts w:ascii="Arial" w:hAnsi="Arial" w:cs="Arial"/>
        </w:rPr>
      </w:pPr>
      <w:r w:rsidRPr="001B3B1B">
        <w:rPr>
          <w:rFonts w:ascii="Arial" w:hAnsi="Arial" w:cs="Arial"/>
        </w:rPr>
        <w:t>allow spouses and civil partners (and people who were living with the tenant as if they were their spouse or civil partner) to succeed the deceased tenant (take over the tenancy) even if there has already been one or more successions; and / or</w:t>
      </w:r>
    </w:p>
    <w:p w14:paraId="13F2CFE4" w14:textId="77777777" w:rsidR="005C0852" w:rsidRPr="004A7DB6" w:rsidRDefault="00A75422" w:rsidP="004A7DB6">
      <w:pPr>
        <w:numPr>
          <w:ilvl w:val="1"/>
          <w:numId w:val="17"/>
        </w:numPr>
        <w:ind w:left="641" w:hanging="357"/>
        <w:rPr>
          <w:rFonts w:ascii="Arial" w:hAnsi="Arial" w:cs="Arial"/>
        </w:rPr>
      </w:pPr>
      <w:r w:rsidRPr="004A7DB6">
        <w:rPr>
          <w:rFonts w:ascii="Arial" w:hAnsi="Arial" w:cs="Arial"/>
        </w:rPr>
        <w:t>allow others (e.g. family members or resident carers) to succeed the deceased tenant (take over their tenancy) if the deceased tenant did not have a spouse or civil partner (or a person with whom they lived as if they were spouses or civil partners) who was occupying the property as their only or principal home at the time of the tenant’s death.</w:t>
      </w:r>
    </w:p>
    <w:p w14:paraId="651E247C" w14:textId="77777777" w:rsidR="003F5701" w:rsidRPr="00415C50" w:rsidRDefault="003F5701" w:rsidP="00585001">
      <w:pPr>
        <w:ind w:right="-874"/>
        <w:rPr>
          <w:rFonts w:ascii="Arial" w:hAnsi="Arial" w:cs="Arial"/>
        </w:rPr>
      </w:pPr>
    </w:p>
    <w:p w14:paraId="506A9967" w14:textId="77777777" w:rsidR="00E7422B" w:rsidRDefault="005C0852" w:rsidP="00585001">
      <w:pPr>
        <w:pStyle w:val="ListParagraph"/>
        <w:numPr>
          <w:ilvl w:val="0"/>
          <w:numId w:val="17"/>
        </w:numPr>
        <w:ind w:left="0" w:right="-874"/>
        <w:rPr>
          <w:rFonts w:ascii="Arial" w:hAnsi="Arial" w:cs="Arial"/>
        </w:rPr>
      </w:pPr>
      <w:r w:rsidRPr="00E7422B">
        <w:rPr>
          <w:rFonts w:ascii="Arial" w:hAnsi="Arial" w:cs="Arial"/>
        </w:rPr>
        <w:t xml:space="preserve">It is the Council’s view that to ensure the best use can be made of the housing stock in Wandsworth to meet residents’ needs, registered providers </w:t>
      </w:r>
      <w:r w:rsidR="003714AD">
        <w:rPr>
          <w:rFonts w:ascii="Arial" w:hAnsi="Arial" w:cs="Arial"/>
        </w:rPr>
        <w:t xml:space="preserve">of social housing </w:t>
      </w:r>
      <w:r w:rsidRPr="00E7422B">
        <w:rPr>
          <w:rFonts w:ascii="Arial" w:hAnsi="Arial" w:cs="Arial"/>
        </w:rPr>
        <w:t>should not usually grant additional succession rights in tenancy agreements for properties in Wandsworth.</w:t>
      </w:r>
      <w:r w:rsidR="00C90D93">
        <w:rPr>
          <w:rFonts w:ascii="Arial" w:hAnsi="Arial" w:cs="Arial"/>
        </w:rPr>
        <w:t xml:space="preserve"> </w:t>
      </w:r>
      <w:r w:rsidRPr="00E7422B">
        <w:rPr>
          <w:rFonts w:ascii="Arial" w:hAnsi="Arial" w:cs="Arial"/>
        </w:rPr>
        <w:t xml:space="preserve"> Instead, they should set out in their policies the circumstances in which they will consider granting a new tenancy (of either the same property or one or more different properties) to a person (e.g. a family member or person who provided care to the deceased tenant) with no statutory right of succession, as the Council does in its Housing Allocation Scheme.</w:t>
      </w:r>
    </w:p>
    <w:p w14:paraId="248BD93D" w14:textId="77777777" w:rsidR="00E7422B" w:rsidRDefault="005C0852" w:rsidP="00585001">
      <w:pPr>
        <w:pStyle w:val="ListParagraph"/>
        <w:ind w:left="0" w:right="-874"/>
        <w:rPr>
          <w:rFonts w:ascii="Arial" w:hAnsi="Arial" w:cs="Arial"/>
        </w:rPr>
      </w:pPr>
      <w:r w:rsidRPr="00E7422B">
        <w:rPr>
          <w:rFonts w:ascii="Arial" w:hAnsi="Arial" w:cs="Arial"/>
        </w:rPr>
        <w:t xml:space="preserve"> </w:t>
      </w:r>
    </w:p>
    <w:p w14:paraId="2419C451" w14:textId="77777777" w:rsidR="00E7422B" w:rsidRDefault="005C0852" w:rsidP="00585001">
      <w:pPr>
        <w:pStyle w:val="ListParagraph"/>
        <w:numPr>
          <w:ilvl w:val="0"/>
          <w:numId w:val="17"/>
        </w:numPr>
        <w:ind w:left="0" w:right="-874"/>
        <w:rPr>
          <w:rFonts w:ascii="Arial" w:hAnsi="Arial" w:cs="Arial"/>
        </w:rPr>
      </w:pPr>
      <w:r w:rsidRPr="00E7422B">
        <w:rPr>
          <w:rFonts w:ascii="Arial" w:hAnsi="Arial" w:cs="Arial"/>
        </w:rPr>
        <w:t>Where registered providers of social housing offer a tenancy to an applicant who was already a social housing tenant as at 1st April 2012, they should have regard to the following when deciding what, if any, additional succession rights to grant in the tenancy agreement.</w:t>
      </w:r>
    </w:p>
    <w:p w14:paraId="0B8D1206" w14:textId="77777777" w:rsidR="00E7422B" w:rsidRPr="00E7422B" w:rsidRDefault="00E7422B" w:rsidP="00585001">
      <w:pPr>
        <w:pStyle w:val="ListParagraph"/>
        <w:ind w:left="0"/>
        <w:rPr>
          <w:rFonts w:ascii="Arial" w:hAnsi="Arial" w:cs="Arial"/>
        </w:rPr>
      </w:pPr>
    </w:p>
    <w:p w14:paraId="3DF9254E" w14:textId="77777777" w:rsidR="00E7422B" w:rsidRDefault="005C0852" w:rsidP="00585001">
      <w:pPr>
        <w:pStyle w:val="ListParagraph"/>
        <w:numPr>
          <w:ilvl w:val="0"/>
          <w:numId w:val="17"/>
        </w:numPr>
        <w:ind w:left="0" w:right="-874"/>
        <w:rPr>
          <w:rFonts w:ascii="Arial" w:hAnsi="Arial" w:cs="Arial"/>
        </w:rPr>
      </w:pPr>
      <w:r w:rsidRPr="00E7422B">
        <w:rPr>
          <w:rFonts w:ascii="Arial" w:hAnsi="Arial" w:cs="Arial"/>
        </w:rPr>
        <w:t>One circumstance where additional succession rights could be included in the tenancy agreement is where this is needed to encourage the tenant to move to more suitable accommodation thereby freeing up their existing home for another household, particularly for tenants moving to a smaller home and those moving via a mutual exchange.</w:t>
      </w:r>
      <w:r w:rsidR="00A53063">
        <w:rPr>
          <w:rFonts w:ascii="Arial" w:hAnsi="Arial" w:cs="Arial"/>
        </w:rPr>
        <w:t xml:space="preserve"> </w:t>
      </w:r>
      <w:r w:rsidRPr="00E7422B">
        <w:rPr>
          <w:rFonts w:ascii="Arial" w:hAnsi="Arial" w:cs="Arial"/>
        </w:rPr>
        <w:t xml:space="preserve"> The Council encourages mutual exchanges particularly where these resolve a housing issue (for example where a tenant who is under occupying their home exchanges with a tenant resulting in them no longer being overcrowded) or where it provides opportunities for the household wishing to exchange (for example, securing employment). </w:t>
      </w:r>
      <w:r w:rsidR="00A53063">
        <w:rPr>
          <w:rFonts w:ascii="Arial" w:hAnsi="Arial" w:cs="Arial"/>
        </w:rPr>
        <w:t xml:space="preserve"> </w:t>
      </w:r>
      <w:r w:rsidRPr="00E7422B">
        <w:rPr>
          <w:rFonts w:ascii="Arial" w:hAnsi="Arial" w:cs="Arial"/>
        </w:rPr>
        <w:t>Therefore, the Council would expect that the new tenancy terms offered by registered providers to tenants wishing to exchange would</w:t>
      </w:r>
      <w:r w:rsidR="00A53063">
        <w:rPr>
          <w:rFonts w:ascii="Arial" w:hAnsi="Arial" w:cs="Arial"/>
        </w:rPr>
        <w:t>,</w:t>
      </w:r>
      <w:r w:rsidRPr="00E7422B">
        <w:rPr>
          <w:rFonts w:ascii="Arial" w:hAnsi="Arial" w:cs="Arial"/>
        </w:rPr>
        <w:t xml:space="preserve"> as far as possible</w:t>
      </w:r>
      <w:r w:rsidR="00A53063">
        <w:rPr>
          <w:rFonts w:ascii="Arial" w:hAnsi="Arial" w:cs="Arial"/>
        </w:rPr>
        <w:t>,</w:t>
      </w:r>
      <w:r w:rsidRPr="00E7422B">
        <w:rPr>
          <w:rFonts w:ascii="Arial" w:hAnsi="Arial" w:cs="Arial"/>
        </w:rPr>
        <w:t xml:space="preserve"> reflect the existing terms enjoyed by the exchanging parties where such benefits are identified.</w:t>
      </w:r>
    </w:p>
    <w:p w14:paraId="1A18F2DC" w14:textId="77777777" w:rsidR="00E7422B" w:rsidRPr="00E7422B" w:rsidRDefault="00E7422B" w:rsidP="00585001">
      <w:pPr>
        <w:pStyle w:val="ListParagraph"/>
        <w:ind w:left="0"/>
        <w:rPr>
          <w:rFonts w:ascii="Arial" w:hAnsi="Arial" w:cs="Arial"/>
        </w:rPr>
      </w:pPr>
    </w:p>
    <w:p w14:paraId="4A29AD60" w14:textId="77777777" w:rsidR="00E7422B" w:rsidRDefault="005C0852" w:rsidP="00585001">
      <w:pPr>
        <w:pStyle w:val="ListParagraph"/>
        <w:numPr>
          <w:ilvl w:val="0"/>
          <w:numId w:val="17"/>
        </w:numPr>
        <w:ind w:left="0" w:right="-874"/>
        <w:rPr>
          <w:rFonts w:ascii="Arial" w:hAnsi="Arial" w:cs="Arial"/>
        </w:rPr>
      </w:pPr>
      <w:r w:rsidRPr="00E7422B">
        <w:rPr>
          <w:rFonts w:ascii="Arial" w:hAnsi="Arial" w:cs="Arial"/>
        </w:rPr>
        <w:t xml:space="preserve">Where a registered provider </w:t>
      </w:r>
      <w:r w:rsidR="00C95B49">
        <w:rPr>
          <w:rFonts w:ascii="Arial" w:hAnsi="Arial" w:cs="Arial"/>
        </w:rPr>
        <w:t xml:space="preserve">of social housing </w:t>
      </w:r>
      <w:r w:rsidRPr="00E7422B">
        <w:rPr>
          <w:rFonts w:ascii="Arial" w:hAnsi="Arial" w:cs="Arial"/>
        </w:rPr>
        <w:t>believes that additional succession rights should be granted in a tenancy agreement for a property in Wandsworth, the Council would wish them to set out the reasons in order that the Council can consider the case and confirm whether it supports the proposal that additional succession rights should be granted.</w:t>
      </w:r>
    </w:p>
    <w:p w14:paraId="3BED1258" w14:textId="77777777" w:rsidR="00E7422B" w:rsidRPr="00E7422B" w:rsidRDefault="00E7422B" w:rsidP="00585001">
      <w:pPr>
        <w:pStyle w:val="ListParagraph"/>
        <w:ind w:left="0"/>
        <w:rPr>
          <w:rFonts w:ascii="Arial" w:hAnsi="Arial" w:cs="Arial"/>
        </w:rPr>
      </w:pPr>
    </w:p>
    <w:p w14:paraId="10E584FA" w14:textId="77777777" w:rsidR="00483CD8" w:rsidRPr="00AE4092" w:rsidRDefault="005C0852" w:rsidP="00585001">
      <w:pPr>
        <w:pStyle w:val="ListParagraph"/>
        <w:numPr>
          <w:ilvl w:val="0"/>
          <w:numId w:val="17"/>
        </w:numPr>
        <w:ind w:left="0" w:right="-874"/>
        <w:rPr>
          <w:rFonts w:ascii="Arial" w:hAnsi="Arial" w:cs="Arial"/>
        </w:rPr>
      </w:pPr>
      <w:r w:rsidRPr="00E7422B">
        <w:rPr>
          <w:rFonts w:ascii="Arial" w:hAnsi="Arial" w:cs="Arial"/>
        </w:rPr>
        <w:t xml:space="preserve">For detailed information on statutory succession rights for </w:t>
      </w:r>
      <w:r w:rsidR="002853F4">
        <w:rPr>
          <w:rFonts w:ascii="Arial" w:hAnsi="Arial" w:cs="Arial"/>
        </w:rPr>
        <w:t>social housing tenancies</w:t>
      </w:r>
      <w:r w:rsidRPr="00E7422B">
        <w:rPr>
          <w:rFonts w:ascii="Arial" w:hAnsi="Arial" w:cs="Arial"/>
        </w:rPr>
        <w:t>, please see Appendix 1 for tenancies that started after 1st April 2012, and Appendix 2 for tenancies that started before 1st April 2012.</w:t>
      </w:r>
    </w:p>
    <w:p w14:paraId="502B177A" w14:textId="77777777" w:rsidR="00D5611C" w:rsidRPr="00BE1D66" w:rsidRDefault="00D5611C" w:rsidP="00585001">
      <w:pPr>
        <w:ind w:right="-874"/>
        <w:rPr>
          <w:rFonts w:ascii="Arial" w:hAnsi="Arial" w:cs="Arial"/>
          <w:bCs/>
        </w:rPr>
      </w:pPr>
    </w:p>
    <w:p w14:paraId="2030870D" w14:textId="77777777" w:rsidR="008548D9" w:rsidRDefault="008548D9" w:rsidP="00585001">
      <w:pPr>
        <w:pStyle w:val="ListParagraph"/>
        <w:ind w:left="0" w:right="-874"/>
        <w:rPr>
          <w:rFonts w:ascii="Arial" w:hAnsi="Arial" w:cs="Arial"/>
          <w:color w:val="000000"/>
        </w:rPr>
      </w:pPr>
      <w:r w:rsidRPr="00934842">
        <w:rPr>
          <w:rFonts w:ascii="Arial" w:hAnsi="Arial" w:cs="Arial"/>
          <w:b/>
          <w:u w:val="single"/>
        </w:rPr>
        <w:t>Provision of advice and assistance to household members of a deceased tenant</w:t>
      </w:r>
    </w:p>
    <w:p w14:paraId="00B9CE80" w14:textId="77777777" w:rsidR="008548D9" w:rsidRPr="008548D9" w:rsidRDefault="008548D9" w:rsidP="00585001">
      <w:pPr>
        <w:pStyle w:val="ListParagraph"/>
        <w:ind w:left="0" w:right="-874"/>
        <w:rPr>
          <w:rFonts w:ascii="Arial" w:hAnsi="Arial" w:cs="Arial"/>
          <w:color w:val="000000"/>
        </w:rPr>
      </w:pPr>
    </w:p>
    <w:p w14:paraId="7333B0A1" w14:textId="77777777" w:rsidR="008548D9" w:rsidRPr="004A7DB6" w:rsidRDefault="00B72DD0" w:rsidP="00585001">
      <w:pPr>
        <w:pStyle w:val="ListParagraph"/>
        <w:numPr>
          <w:ilvl w:val="0"/>
          <w:numId w:val="17"/>
        </w:numPr>
        <w:ind w:left="0" w:right="-874"/>
        <w:rPr>
          <w:rFonts w:ascii="Arial" w:hAnsi="Arial" w:cs="Arial"/>
          <w:color w:val="000000"/>
        </w:rPr>
      </w:pPr>
      <w:r w:rsidRPr="008548D9">
        <w:rPr>
          <w:rFonts w:ascii="Arial" w:hAnsi="Arial" w:cs="Arial"/>
        </w:rPr>
        <w:t xml:space="preserve">Where a tenant of a social housing property in Wandsworth dies and there is no statutory right of succession but the property continues to be occupied by people who were living with the tenant, registered providers </w:t>
      </w:r>
      <w:r w:rsidR="00011CA6">
        <w:rPr>
          <w:rFonts w:ascii="Arial" w:hAnsi="Arial" w:cs="Arial"/>
        </w:rPr>
        <w:t xml:space="preserve">of social housing </w:t>
      </w:r>
      <w:r w:rsidRPr="008548D9">
        <w:rPr>
          <w:rFonts w:ascii="Arial" w:hAnsi="Arial" w:cs="Arial"/>
        </w:rPr>
        <w:t>should review the household’s circumstances and housing options with them to determine whether one or more or them should be offered a tenancy of either the property they are occupying or one or more different properties and, if so:</w:t>
      </w:r>
    </w:p>
    <w:p w14:paraId="210C102B" w14:textId="77777777" w:rsidR="004A7DB6" w:rsidRPr="008548D9" w:rsidRDefault="004A7DB6" w:rsidP="004A7DB6">
      <w:pPr>
        <w:pStyle w:val="ListParagraph"/>
        <w:ind w:left="0" w:right="-874"/>
        <w:rPr>
          <w:rFonts w:ascii="Arial" w:hAnsi="Arial" w:cs="Arial"/>
          <w:color w:val="000000"/>
        </w:rPr>
      </w:pPr>
    </w:p>
    <w:p w14:paraId="66D5146A" w14:textId="77777777" w:rsidR="008548D9" w:rsidRPr="008548D9" w:rsidRDefault="00EE12A5" w:rsidP="004A7DB6">
      <w:pPr>
        <w:pStyle w:val="ListParagraph"/>
        <w:numPr>
          <w:ilvl w:val="1"/>
          <w:numId w:val="17"/>
        </w:numPr>
        <w:ind w:left="641" w:hanging="357"/>
        <w:rPr>
          <w:rFonts w:ascii="Arial" w:hAnsi="Arial" w:cs="Arial"/>
          <w:color w:val="000000"/>
        </w:rPr>
      </w:pPr>
      <w:r>
        <w:rPr>
          <w:rFonts w:ascii="Arial" w:hAnsi="Arial" w:cs="Arial"/>
        </w:rPr>
        <w:t>The type and length of tenancy to be offe</w:t>
      </w:r>
      <w:r w:rsidR="00242EFB">
        <w:rPr>
          <w:rFonts w:ascii="Arial" w:hAnsi="Arial" w:cs="Arial"/>
        </w:rPr>
        <w:t>r</w:t>
      </w:r>
      <w:r>
        <w:rPr>
          <w:rFonts w:ascii="Arial" w:hAnsi="Arial" w:cs="Arial"/>
        </w:rPr>
        <w:t>ed</w:t>
      </w:r>
      <w:r w:rsidR="00B72DD0" w:rsidRPr="008548D9">
        <w:rPr>
          <w:rFonts w:ascii="Arial" w:hAnsi="Arial" w:cs="Arial"/>
        </w:rPr>
        <w:t>; and</w:t>
      </w:r>
    </w:p>
    <w:p w14:paraId="177D1BB3" w14:textId="77777777" w:rsidR="008548D9" w:rsidRDefault="00B72DD0" w:rsidP="004A7DB6">
      <w:pPr>
        <w:pStyle w:val="ListParagraph"/>
        <w:numPr>
          <w:ilvl w:val="1"/>
          <w:numId w:val="17"/>
        </w:numPr>
        <w:ind w:left="641" w:hanging="357"/>
        <w:rPr>
          <w:rFonts w:ascii="Arial" w:hAnsi="Arial" w:cs="Arial"/>
        </w:rPr>
      </w:pPr>
      <w:r w:rsidRPr="008548D9">
        <w:rPr>
          <w:rFonts w:ascii="Arial" w:hAnsi="Arial" w:cs="Arial"/>
        </w:rPr>
        <w:t>what rent should be charged (within legislative and regulatory</w:t>
      </w:r>
      <w:r w:rsidR="00EE12A5">
        <w:rPr>
          <w:rFonts w:ascii="Arial" w:hAnsi="Arial" w:cs="Arial"/>
        </w:rPr>
        <w:t xml:space="preserve"> </w:t>
      </w:r>
      <w:r w:rsidRPr="008548D9">
        <w:rPr>
          <w:rFonts w:ascii="Arial" w:hAnsi="Arial" w:cs="Arial"/>
        </w:rPr>
        <w:t>requirements).</w:t>
      </w:r>
    </w:p>
    <w:p w14:paraId="359C58CD" w14:textId="77777777" w:rsidR="008548D9" w:rsidRDefault="008548D9" w:rsidP="00585001">
      <w:pPr>
        <w:pStyle w:val="ListParagraph"/>
        <w:ind w:left="0" w:right="-874"/>
        <w:rPr>
          <w:rFonts w:ascii="Arial" w:hAnsi="Arial" w:cs="Arial"/>
        </w:rPr>
      </w:pPr>
    </w:p>
    <w:p w14:paraId="4A0781D8" w14:textId="77777777" w:rsidR="008548D9" w:rsidRDefault="00B72DD0" w:rsidP="00585001">
      <w:pPr>
        <w:pStyle w:val="ListParagraph"/>
        <w:numPr>
          <w:ilvl w:val="0"/>
          <w:numId w:val="17"/>
        </w:numPr>
        <w:ind w:left="0" w:right="-874"/>
        <w:rPr>
          <w:rFonts w:ascii="Arial" w:hAnsi="Arial" w:cs="Arial"/>
        </w:rPr>
      </w:pPr>
      <w:r w:rsidRPr="008548D9">
        <w:rPr>
          <w:rFonts w:ascii="Arial" w:hAnsi="Arial" w:cs="Arial"/>
        </w:rPr>
        <w:t xml:space="preserve">Where a registered provider decides to seek possession of a property in Wandsworth following the tenant’s death, the Council would expect them to provide advice and assistance that is fit for purpose to any persons remaining in occupation. </w:t>
      </w:r>
      <w:r w:rsidR="00A53063">
        <w:rPr>
          <w:rFonts w:ascii="Arial" w:hAnsi="Arial" w:cs="Arial"/>
        </w:rPr>
        <w:t xml:space="preserve"> </w:t>
      </w:r>
      <w:r w:rsidRPr="008548D9">
        <w:rPr>
          <w:rFonts w:ascii="Arial" w:hAnsi="Arial" w:cs="Arial"/>
        </w:rPr>
        <w:t>This advice and assistance should ensure as far as possible that no negative impacts arise for the Council’s advice and assistance services.</w:t>
      </w:r>
    </w:p>
    <w:p w14:paraId="1D0D1F5A" w14:textId="77777777" w:rsidR="008548D9" w:rsidRDefault="008548D9" w:rsidP="00585001">
      <w:pPr>
        <w:pStyle w:val="ListParagraph"/>
        <w:ind w:left="0" w:right="-874"/>
        <w:rPr>
          <w:rFonts w:ascii="Arial" w:hAnsi="Arial" w:cs="Arial"/>
          <w:b/>
          <w:u w:val="single"/>
        </w:rPr>
      </w:pPr>
    </w:p>
    <w:p w14:paraId="1B78780B" w14:textId="77777777" w:rsidR="008548D9" w:rsidRPr="008548D9" w:rsidRDefault="008548D9" w:rsidP="00585001">
      <w:pPr>
        <w:pStyle w:val="ListParagraph"/>
        <w:ind w:left="0" w:right="-874"/>
        <w:rPr>
          <w:rFonts w:ascii="Arial" w:hAnsi="Arial" w:cs="Arial"/>
          <w:b/>
          <w:u w:val="single"/>
        </w:rPr>
      </w:pPr>
      <w:r w:rsidRPr="008548D9">
        <w:rPr>
          <w:rFonts w:ascii="Arial" w:hAnsi="Arial" w:cs="Arial"/>
          <w:b/>
          <w:u w:val="single"/>
        </w:rPr>
        <w:t>Appeals and complaints</w:t>
      </w:r>
    </w:p>
    <w:p w14:paraId="77A2083F" w14:textId="77777777" w:rsidR="008548D9" w:rsidRDefault="008548D9" w:rsidP="00585001">
      <w:pPr>
        <w:pStyle w:val="ListParagraph"/>
        <w:ind w:left="0" w:right="-874"/>
        <w:rPr>
          <w:rFonts w:ascii="Arial" w:hAnsi="Arial" w:cs="Arial"/>
        </w:rPr>
      </w:pPr>
    </w:p>
    <w:p w14:paraId="1E235951" w14:textId="77777777" w:rsidR="008548D9" w:rsidRDefault="00B72DD0" w:rsidP="00585001">
      <w:pPr>
        <w:pStyle w:val="ListParagraph"/>
        <w:numPr>
          <w:ilvl w:val="0"/>
          <w:numId w:val="17"/>
        </w:numPr>
        <w:ind w:left="0" w:right="-874"/>
        <w:rPr>
          <w:rFonts w:ascii="Arial" w:hAnsi="Arial" w:cs="Arial"/>
        </w:rPr>
      </w:pPr>
      <w:r w:rsidRPr="008548D9">
        <w:rPr>
          <w:rFonts w:ascii="Arial" w:hAnsi="Arial" w:cs="Arial"/>
        </w:rPr>
        <w:t xml:space="preserve">As set out in the introduction to this strategy, it is a regulatory requirement that registered providers </w:t>
      </w:r>
      <w:r w:rsidR="006C5F6D">
        <w:rPr>
          <w:rFonts w:ascii="Arial" w:hAnsi="Arial" w:cs="Arial"/>
        </w:rPr>
        <w:t xml:space="preserve">of social housing </w:t>
      </w:r>
      <w:r w:rsidRPr="008548D9">
        <w:rPr>
          <w:rFonts w:ascii="Arial" w:hAnsi="Arial" w:cs="Arial"/>
        </w:rPr>
        <w:t>must publish clear and accessible policies which set out the way in which a tenant or prospective tenant may appeal against or complain about:</w:t>
      </w:r>
    </w:p>
    <w:p w14:paraId="4D2638CA" w14:textId="77777777" w:rsidR="008548D9" w:rsidRDefault="008548D9" w:rsidP="00585001">
      <w:pPr>
        <w:pStyle w:val="ListParagraph"/>
        <w:ind w:left="0" w:right="-874"/>
        <w:rPr>
          <w:rFonts w:ascii="Arial" w:hAnsi="Arial" w:cs="Arial"/>
        </w:rPr>
      </w:pPr>
    </w:p>
    <w:p w14:paraId="4E5D7858" w14:textId="77777777" w:rsidR="008548D9" w:rsidRDefault="00BD36AC" w:rsidP="004A7DB6">
      <w:pPr>
        <w:pStyle w:val="ListParagraph"/>
        <w:numPr>
          <w:ilvl w:val="1"/>
          <w:numId w:val="17"/>
        </w:numPr>
        <w:ind w:left="641" w:hanging="357"/>
        <w:rPr>
          <w:rFonts w:ascii="Arial" w:hAnsi="Arial" w:cs="Arial"/>
        </w:rPr>
      </w:pPr>
      <w:r>
        <w:rPr>
          <w:rFonts w:ascii="Arial" w:hAnsi="Arial" w:cs="Arial"/>
        </w:rPr>
        <w:t>t</w:t>
      </w:r>
      <w:r w:rsidR="00B72DD0" w:rsidRPr="008548D9">
        <w:rPr>
          <w:rFonts w:ascii="Arial" w:hAnsi="Arial" w:cs="Arial"/>
        </w:rPr>
        <w:t>he type of tenancy offered;</w:t>
      </w:r>
    </w:p>
    <w:p w14:paraId="72DEB570" w14:textId="77777777" w:rsidR="008548D9" w:rsidRDefault="00BD36AC" w:rsidP="004A7DB6">
      <w:pPr>
        <w:pStyle w:val="ListParagraph"/>
        <w:numPr>
          <w:ilvl w:val="1"/>
          <w:numId w:val="17"/>
        </w:numPr>
        <w:ind w:left="641" w:hanging="357"/>
        <w:rPr>
          <w:rFonts w:ascii="Arial" w:hAnsi="Arial" w:cs="Arial"/>
        </w:rPr>
      </w:pPr>
      <w:r>
        <w:rPr>
          <w:rFonts w:ascii="Arial" w:hAnsi="Arial" w:cs="Arial"/>
        </w:rPr>
        <w:t>t</w:t>
      </w:r>
      <w:r w:rsidR="00B72DD0" w:rsidRPr="008548D9">
        <w:rPr>
          <w:rFonts w:ascii="Arial" w:hAnsi="Arial" w:cs="Arial"/>
        </w:rPr>
        <w:t>he length of tenancy offered; or</w:t>
      </w:r>
    </w:p>
    <w:p w14:paraId="64E371FC" w14:textId="77777777" w:rsidR="008548D9" w:rsidRDefault="00BD36AC" w:rsidP="004A7DB6">
      <w:pPr>
        <w:pStyle w:val="ListParagraph"/>
        <w:numPr>
          <w:ilvl w:val="1"/>
          <w:numId w:val="17"/>
        </w:numPr>
        <w:ind w:left="641" w:hanging="357"/>
        <w:rPr>
          <w:rFonts w:ascii="Arial" w:hAnsi="Arial" w:cs="Arial"/>
        </w:rPr>
      </w:pPr>
      <w:r>
        <w:rPr>
          <w:rFonts w:ascii="Arial" w:hAnsi="Arial" w:cs="Arial"/>
        </w:rPr>
        <w:t>a</w:t>
      </w:r>
      <w:r w:rsidR="00B72DD0" w:rsidRPr="00377D63">
        <w:rPr>
          <w:rFonts w:ascii="Arial" w:hAnsi="Arial" w:cs="Arial"/>
        </w:rPr>
        <w:t xml:space="preserve"> decision not to </w:t>
      </w:r>
      <w:r w:rsidR="00120AA5" w:rsidRPr="00377D63">
        <w:rPr>
          <w:rFonts w:ascii="Arial" w:hAnsi="Arial" w:cs="Arial"/>
        </w:rPr>
        <w:t>offer a</w:t>
      </w:r>
      <w:r w:rsidR="00710920" w:rsidRPr="00377D63">
        <w:rPr>
          <w:rFonts w:ascii="Arial" w:hAnsi="Arial" w:cs="Arial"/>
        </w:rPr>
        <w:t xml:space="preserve">nother tenancy at the end of an existing tenancy of any </w:t>
      </w:r>
      <w:r w:rsidR="00377D63" w:rsidRPr="00377D63">
        <w:rPr>
          <w:rFonts w:ascii="Arial" w:hAnsi="Arial" w:cs="Arial"/>
        </w:rPr>
        <w:t>type.</w:t>
      </w:r>
    </w:p>
    <w:p w14:paraId="0498CAC2" w14:textId="77777777" w:rsidR="00377D63" w:rsidRPr="00377D63" w:rsidRDefault="00377D63" w:rsidP="00585001">
      <w:pPr>
        <w:pStyle w:val="ListParagraph"/>
        <w:ind w:left="0" w:right="-874"/>
        <w:rPr>
          <w:rFonts w:ascii="Arial" w:hAnsi="Arial" w:cs="Arial"/>
        </w:rPr>
      </w:pPr>
    </w:p>
    <w:p w14:paraId="74A731C4" w14:textId="77777777" w:rsidR="008548D9" w:rsidRDefault="00B72DD0" w:rsidP="00585001">
      <w:pPr>
        <w:pStyle w:val="ListParagraph"/>
        <w:numPr>
          <w:ilvl w:val="0"/>
          <w:numId w:val="17"/>
        </w:numPr>
        <w:ind w:left="0" w:right="-874"/>
        <w:rPr>
          <w:rFonts w:ascii="Arial" w:hAnsi="Arial" w:cs="Arial"/>
        </w:rPr>
      </w:pPr>
      <w:r w:rsidRPr="008548D9">
        <w:rPr>
          <w:rFonts w:ascii="Arial" w:hAnsi="Arial" w:cs="Arial"/>
        </w:rPr>
        <w:t>The Council expects registered providers of social housing in Wandsworth to:</w:t>
      </w:r>
    </w:p>
    <w:p w14:paraId="4D2D1C5F" w14:textId="77777777" w:rsidR="008548D9" w:rsidRDefault="008548D9" w:rsidP="00585001">
      <w:pPr>
        <w:pStyle w:val="ListParagraph"/>
        <w:ind w:left="0" w:right="-874"/>
        <w:rPr>
          <w:rFonts w:ascii="Arial" w:hAnsi="Arial" w:cs="Arial"/>
        </w:rPr>
      </w:pPr>
    </w:p>
    <w:p w14:paraId="56A63F34" w14:textId="77777777" w:rsidR="008548D9" w:rsidRDefault="00BD36AC" w:rsidP="004A7DB6">
      <w:pPr>
        <w:pStyle w:val="ListParagraph"/>
        <w:numPr>
          <w:ilvl w:val="1"/>
          <w:numId w:val="17"/>
        </w:numPr>
        <w:ind w:left="641" w:hanging="357"/>
        <w:rPr>
          <w:rFonts w:ascii="Arial" w:hAnsi="Arial" w:cs="Arial"/>
        </w:rPr>
      </w:pPr>
      <w:r>
        <w:rPr>
          <w:rFonts w:ascii="Arial" w:hAnsi="Arial" w:cs="Arial"/>
        </w:rPr>
        <w:t>h</w:t>
      </w:r>
      <w:r w:rsidR="00B72DD0" w:rsidRPr="008548D9">
        <w:rPr>
          <w:rFonts w:ascii="Arial" w:hAnsi="Arial" w:cs="Arial"/>
        </w:rPr>
        <w:t>ave an approach to appeals and complaints that is clear, simple and accessible and ensures that they are considered and resolved promptly, politely and fairly;</w:t>
      </w:r>
    </w:p>
    <w:p w14:paraId="42D38DCD" w14:textId="77777777" w:rsidR="008548D9" w:rsidRDefault="00BD36AC" w:rsidP="004A7DB6">
      <w:pPr>
        <w:pStyle w:val="ListParagraph"/>
        <w:numPr>
          <w:ilvl w:val="1"/>
          <w:numId w:val="17"/>
        </w:numPr>
        <w:ind w:left="641" w:hanging="357"/>
        <w:rPr>
          <w:rFonts w:ascii="Arial" w:hAnsi="Arial" w:cs="Arial"/>
        </w:rPr>
      </w:pPr>
      <w:r>
        <w:rPr>
          <w:rFonts w:ascii="Arial" w:hAnsi="Arial" w:cs="Arial"/>
        </w:rPr>
        <w:t>p</w:t>
      </w:r>
      <w:r w:rsidR="00B72DD0" w:rsidRPr="008548D9">
        <w:rPr>
          <w:rFonts w:ascii="Arial" w:hAnsi="Arial" w:cs="Arial"/>
        </w:rPr>
        <w:t>ublish their appeals and complaints policies on their website and make copies available free of charge to anyone who might request a copy; and</w:t>
      </w:r>
    </w:p>
    <w:p w14:paraId="48F3B821" w14:textId="77777777" w:rsidR="00AA4414" w:rsidRDefault="000B7CC9" w:rsidP="004A7DB6">
      <w:pPr>
        <w:pStyle w:val="ListParagraph"/>
        <w:numPr>
          <w:ilvl w:val="1"/>
          <w:numId w:val="17"/>
        </w:numPr>
        <w:ind w:left="641" w:hanging="357"/>
        <w:rPr>
          <w:rFonts w:ascii="Arial" w:hAnsi="Arial" w:cs="Arial"/>
        </w:rPr>
      </w:pPr>
      <w:r>
        <w:rPr>
          <w:rFonts w:ascii="Arial" w:hAnsi="Arial" w:cs="Arial"/>
        </w:rPr>
        <w:lastRenderedPageBreak/>
        <w:t>w</w:t>
      </w:r>
      <w:r w:rsidR="00B72DD0" w:rsidRPr="008548D9">
        <w:rPr>
          <w:rFonts w:ascii="Arial" w:hAnsi="Arial" w:cs="Arial"/>
        </w:rPr>
        <w:t xml:space="preserve">here tenants / prospective tenants have the right to request a review of or appeal against a decision, notify them of this right in any correspondence communicating such a decision. </w:t>
      </w:r>
      <w:r w:rsidR="00F4479C">
        <w:rPr>
          <w:rFonts w:ascii="Arial" w:hAnsi="Arial" w:cs="Arial"/>
        </w:rPr>
        <w:t xml:space="preserve"> </w:t>
      </w:r>
      <w:r w:rsidR="00B72DD0" w:rsidRPr="008548D9">
        <w:rPr>
          <w:rFonts w:ascii="Arial" w:hAnsi="Arial" w:cs="Arial"/>
        </w:rPr>
        <w:t>Details should be provided of any timescale in which the review request or appeal must be made and the administrative arrangements for requesting and conducting the review / considering the appeal.</w:t>
      </w:r>
    </w:p>
    <w:p w14:paraId="48EBAED7" w14:textId="77777777" w:rsidR="00AA4414" w:rsidRPr="00BE1D66" w:rsidRDefault="00AA4414" w:rsidP="00585001">
      <w:pPr>
        <w:ind w:right="-874"/>
        <w:rPr>
          <w:rFonts w:ascii="Arial" w:hAnsi="Arial" w:cs="Arial"/>
        </w:rPr>
      </w:pPr>
    </w:p>
    <w:p w14:paraId="149F5AAE" w14:textId="77777777" w:rsidR="00AA4414" w:rsidRPr="00934842" w:rsidRDefault="00AA4414" w:rsidP="00585001">
      <w:pPr>
        <w:ind w:right="-874"/>
        <w:rPr>
          <w:rFonts w:ascii="Arial" w:hAnsi="Arial" w:cs="Arial"/>
          <w:b/>
          <w:u w:val="single"/>
        </w:rPr>
      </w:pPr>
      <w:r w:rsidRPr="00934842">
        <w:rPr>
          <w:rFonts w:ascii="Arial" w:hAnsi="Arial" w:cs="Arial"/>
          <w:b/>
          <w:u w:val="single"/>
        </w:rPr>
        <w:t>Approach to tenancy management</w:t>
      </w:r>
    </w:p>
    <w:p w14:paraId="40668041" w14:textId="77777777" w:rsidR="00AA4414" w:rsidRPr="00934842" w:rsidRDefault="00AA4414" w:rsidP="00585001">
      <w:pPr>
        <w:ind w:right="-874"/>
        <w:rPr>
          <w:rFonts w:ascii="Arial" w:hAnsi="Arial" w:cs="Arial"/>
          <w:b/>
          <w:u w:val="single"/>
        </w:rPr>
      </w:pPr>
    </w:p>
    <w:p w14:paraId="37531C8C" w14:textId="77777777" w:rsidR="00AA4414" w:rsidRPr="003625F7" w:rsidRDefault="00AA4414" w:rsidP="00585001">
      <w:pPr>
        <w:ind w:right="-874"/>
        <w:rPr>
          <w:rFonts w:ascii="Arial" w:hAnsi="Arial" w:cs="Arial"/>
          <w:u w:val="single"/>
        </w:rPr>
      </w:pPr>
      <w:r w:rsidRPr="003625F7">
        <w:rPr>
          <w:rFonts w:ascii="Arial" w:hAnsi="Arial" w:cs="Arial"/>
          <w:u w:val="single"/>
        </w:rPr>
        <w:t>Tackling tenancy fraud</w:t>
      </w:r>
    </w:p>
    <w:p w14:paraId="0A7B0606" w14:textId="77777777" w:rsidR="00AA4414" w:rsidRDefault="00AA4414" w:rsidP="00585001">
      <w:pPr>
        <w:pStyle w:val="ListParagraph"/>
        <w:ind w:left="0" w:right="-874"/>
        <w:rPr>
          <w:rFonts w:ascii="Arial" w:hAnsi="Arial" w:cs="Arial"/>
        </w:rPr>
      </w:pPr>
    </w:p>
    <w:p w14:paraId="2CA2BB85" w14:textId="77777777" w:rsidR="00AA4414" w:rsidRDefault="00B72DD0" w:rsidP="00585001">
      <w:pPr>
        <w:pStyle w:val="ListParagraph"/>
        <w:numPr>
          <w:ilvl w:val="0"/>
          <w:numId w:val="17"/>
        </w:numPr>
        <w:ind w:left="0" w:right="-874"/>
        <w:rPr>
          <w:rFonts w:ascii="Arial" w:hAnsi="Arial" w:cs="Arial"/>
        </w:rPr>
      </w:pPr>
      <w:r w:rsidRPr="00AA4414">
        <w:rPr>
          <w:rFonts w:ascii="Arial" w:hAnsi="Arial" w:cs="Arial"/>
        </w:rPr>
        <w:t xml:space="preserve">As explained in the introduction to this strategy it is a regulatory requirement that registered providers of social housing must publish clear and accessible policies which outline their approach to tenancy management including tackling tenancy fraud. </w:t>
      </w:r>
    </w:p>
    <w:p w14:paraId="7A009EA7" w14:textId="77777777" w:rsidR="00AA4414" w:rsidRDefault="00AA4414" w:rsidP="00585001">
      <w:pPr>
        <w:pStyle w:val="ListParagraph"/>
        <w:ind w:left="0" w:right="-874"/>
        <w:rPr>
          <w:rFonts w:ascii="Arial" w:hAnsi="Arial" w:cs="Arial"/>
        </w:rPr>
      </w:pPr>
    </w:p>
    <w:p w14:paraId="04D3557F" w14:textId="77777777" w:rsidR="00AA4414" w:rsidRDefault="00B72DD0" w:rsidP="00585001">
      <w:pPr>
        <w:pStyle w:val="ListParagraph"/>
        <w:numPr>
          <w:ilvl w:val="0"/>
          <w:numId w:val="17"/>
        </w:numPr>
        <w:ind w:left="0" w:right="-874"/>
        <w:rPr>
          <w:rFonts w:ascii="Arial" w:hAnsi="Arial" w:cs="Arial"/>
        </w:rPr>
      </w:pPr>
      <w:r w:rsidRPr="00AA4414">
        <w:rPr>
          <w:rFonts w:ascii="Arial" w:hAnsi="Arial" w:cs="Arial"/>
        </w:rPr>
        <w:t>The Council expects registered providers of social housing to take immediate action to terminate tenancies of properties in Wandsworth where they have been obtained by the making of a false or misleading statement.</w:t>
      </w:r>
    </w:p>
    <w:p w14:paraId="3A83A11C" w14:textId="77777777" w:rsidR="00AA4414" w:rsidRDefault="00AA4414" w:rsidP="00585001">
      <w:pPr>
        <w:pStyle w:val="ListParagraph"/>
        <w:ind w:left="0" w:right="-874"/>
        <w:rPr>
          <w:rFonts w:ascii="Arial" w:hAnsi="Arial" w:cs="Arial"/>
        </w:rPr>
      </w:pPr>
    </w:p>
    <w:p w14:paraId="66C87CF2" w14:textId="77777777" w:rsidR="00AA4414" w:rsidRDefault="00B72DD0" w:rsidP="00585001">
      <w:pPr>
        <w:pStyle w:val="ListParagraph"/>
        <w:numPr>
          <w:ilvl w:val="0"/>
          <w:numId w:val="17"/>
        </w:numPr>
        <w:ind w:left="0" w:right="-874"/>
        <w:rPr>
          <w:rFonts w:ascii="Arial" w:hAnsi="Arial" w:cs="Arial"/>
        </w:rPr>
      </w:pPr>
      <w:r w:rsidRPr="00AA4414">
        <w:rPr>
          <w:rFonts w:ascii="Arial" w:hAnsi="Arial" w:cs="Arial"/>
        </w:rPr>
        <w:t xml:space="preserve">The Council also expects </w:t>
      </w:r>
      <w:r w:rsidR="00352D37" w:rsidRPr="00AA4414">
        <w:rPr>
          <w:rFonts w:ascii="Arial" w:hAnsi="Arial" w:cs="Arial"/>
        </w:rPr>
        <w:t xml:space="preserve">registered providers </w:t>
      </w:r>
      <w:r w:rsidRPr="00AA4414">
        <w:rPr>
          <w:rFonts w:ascii="Arial" w:hAnsi="Arial" w:cs="Arial"/>
        </w:rPr>
        <w:t xml:space="preserve">to take a proactive approach to undertaking occupancy checks for properties in Wandsworth and encourages them to work in partnership with the South West London Audit Partnership (SWLAP) (E-mail: swlap@richmondandwandsworth.onmicrosoft.com) to tackle tenancy fraud. </w:t>
      </w:r>
      <w:r w:rsidR="00A26F73">
        <w:rPr>
          <w:rFonts w:ascii="Arial" w:hAnsi="Arial" w:cs="Arial"/>
        </w:rPr>
        <w:t xml:space="preserve"> </w:t>
      </w:r>
      <w:r w:rsidRPr="00AA4414">
        <w:rPr>
          <w:rFonts w:ascii="Arial" w:hAnsi="Arial" w:cs="Arial"/>
        </w:rPr>
        <w:t xml:space="preserve">The SWLAP can help by cross matching data from various databases and </w:t>
      </w:r>
      <w:r w:rsidR="00352D37" w:rsidRPr="00AA4414">
        <w:rPr>
          <w:rFonts w:ascii="Arial" w:hAnsi="Arial" w:cs="Arial"/>
        </w:rPr>
        <w:t xml:space="preserve">registered provider </w:t>
      </w:r>
      <w:r w:rsidRPr="00AA4414">
        <w:rPr>
          <w:rFonts w:ascii="Arial" w:hAnsi="Arial" w:cs="Arial"/>
        </w:rPr>
        <w:t xml:space="preserve">tenancy databases to identify discrepancies that indicate potential tenancy misuse or unlawful subletting and referring anomalies identified to the registered provider for further investigation. </w:t>
      </w:r>
      <w:r w:rsidR="00A26F73">
        <w:rPr>
          <w:rFonts w:ascii="Arial" w:hAnsi="Arial" w:cs="Arial"/>
        </w:rPr>
        <w:t xml:space="preserve"> </w:t>
      </w:r>
      <w:r w:rsidRPr="00AA4414">
        <w:rPr>
          <w:rFonts w:ascii="Arial" w:hAnsi="Arial" w:cs="Arial"/>
        </w:rPr>
        <w:t>The SWLAP will, where requested, also support registered providers around the management of complex cases to regain possession of the property.</w:t>
      </w:r>
    </w:p>
    <w:p w14:paraId="346E3E96" w14:textId="77777777" w:rsidR="00AA4414" w:rsidRDefault="00AA4414" w:rsidP="00585001">
      <w:pPr>
        <w:pStyle w:val="ListParagraph"/>
        <w:ind w:left="0" w:right="-874"/>
        <w:rPr>
          <w:rFonts w:ascii="Arial" w:hAnsi="Arial" w:cs="Arial"/>
        </w:rPr>
      </w:pPr>
    </w:p>
    <w:p w14:paraId="0463BED6" w14:textId="77777777" w:rsidR="00AA4414" w:rsidRPr="003625F7" w:rsidRDefault="00AA4414" w:rsidP="00585001">
      <w:pPr>
        <w:ind w:right="-874"/>
        <w:rPr>
          <w:rFonts w:ascii="Arial" w:hAnsi="Arial" w:cs="Arial"/>
          <w:u w:val="single"/>
        </w:rPr>
      </w:pPr>
      <w:r w:rsidRPr="003625F7">
        <w:rPr>
          <w:rFonts w:ascii="Arial" w:hAnsi="Arial" w:cs="Arial"/>
          <w:u w:val="single"/>
        </w:rPr>
        <w:t>Interventions to sustain tenancies and prevent unnecessary evictions</w:t>
      </w:r>
    </w:p>
    <w:p w14:paraId="019CD004" w14:textId="77777777" w:rsidR="00AA4414" w:rsidRDefault="00AA4414" w:rsidP="00585001">
      <w:pPr>
        <w:pStyle w:val="ListParagraph"/>
        <w:ind w:left="0" w:right="-874"/>
        <w:rPr>
          <w:rFonts w:ascii="Arial" w:hAnsi="Arial" w:cs="Arial"/>
        </w:rPr>
      </w:pPr>
    </w:p>
    <w:p w14:paraId="77E4ECBC" w14:textId="77777777" w:rsidR="00AA4414" w:rsidRDefault="00B72DD0" w:rsidP="00585001">
      <w:pPr>
        <w:pStyle w:val="ListParagraph"/>
        <w:numPr>
          <w:ilvl w:val="0"/>
          <w:numId w:val="17"/>
        </w:numPr>
        <w:ind w:left="0" w:right="-874"/>
        <w:rPr>
          <w:rFonts w:ascii="Arial" w:hAnsi="Arial" w:cs="Arial"/>
        </w:rPr>
      </w:pPr>
      <w:r w:rsidRPr="00AA4414">
        <w:rPr>
          <w:rFonts w:ascii="Arial" w:hAnsi="Arial" w:cs="Arial"/>
        </w:rPr>
        <w:t xml:space="preserve">It is a regulatory requirement that registered providers must publish clear and accessible policies which outline their approach to tenancy management including interventions to sustain tenancies and prevent unnecessary evictions. </w:t>
      </w:r>
    </w:p>
    <w:p w14:paraId="245AECD9" w14:textId="77777777" w:rsidR="00AA4414" w:rsidRDefault="00AA4414" w:rsidP="00585001">
      <w:pPr>
        <w:pStyle w:val="ListParagraph"/>
        <w:ind w:left="0" w:right="-874"/>
        <w:rPr>
          <w:rFonts w:ascii="Arial" w:hAnsi="Arial" w:cs="Arial"/>
        </w:rPr>
      </w:pPr>
    </w:p>
    <w:p w14:paraId="4F3D0C49" w14:textId="77777777" w:rsidR="00AA4414" w:rsidRDefault="00B72DD0" w:rsidP="00585001">
      <w:pPr>
        <w:pStyle w:val="ListParagraph"/>
        <w:numPr>
          <w:ilvl w:val="0"/>
          <w:numId w:val="17"/>
        </w:numPr>
        <w:ind w:left="0" w:right="-874"/>
        <w:rPr>
          <w:rFonts w:ascii="Arial" w:hAnsi="Arial" w:cs="Arial"/>
        </w:rPr>
      </w:pPr>
      <w:r w:rsidRPr="00AA4414">
        <w:rPr>
          <w:rFonts w:ascii="Arial" w:hAnsi="Arial" w:cs="Arial"/>
        </w:rPr>
        <w:t>The Council expects that registered providers of social housing in Wandsworth will:</w:t>
      </w:r>
    </w:p>
    <w:p w14:paraId="740D22FC" w14:textId="77777777" w:rsidR="00AA4414" w:rsidRDefault="00AA4414" w:rsidP="00585001">
      <w:pPr>
        <w:pStyle w:val="ListParagraph"/>
        <w:ind w:left="0" w:right="-874"/>
        <w:rPr>
          <w:rFonts w:ascii="Arial" w:hAnsi="Arial" w:cs="Arial"/>
        </w:rPr>
      </w:pPr>
    </w:p>
    <w:p w14:paraId="37040EEA" w14:textId="77777777" w:rsidR="00AA4414" w:rsidRDefault="00B72DD0" w:rsidP="004A7DB6">
      <w:pPr>
        <w:pStyle w:val="ListParagraph"/>
        <w:numPr>
          <w:ilvl w:val="1"/>
          <w:numId w:val="17"/>
        </w:numPr>
        <w:ind w:left="641" w:hanging="357"/>
        <w:rPr>
          <w:rFonts w:ascii="Arial" w:hAnsi="Arial" w:cs="Arial"/>
        </w:rPr>
      </w:pPr>
      <w:r w:rsidRPr="00AA4414">
        <w:rPr>
          <w:rFonts w:ascii="Arial" w:hAnsi="Arial" w:cs="Arial"/>
        </w:rPr>
        <w:t>develop and provide services that will support tenants of properties in Wandsworth (particularly those who are identified as vulnerable and showing a clear indication of failure to maintain their tenancy and / or are engaging in anti-social behaviour) to maintain their tenancy and prevent unnecessary evictions; and</w:t>
      </w:r>
    </w:p>
    <w:p w14:paraId="31BCFA1B" w14:textId="77777777" w:rsidR="00AA4414" w:rsidRDefault="00B72DD0" w:rsidP="004A7DB6">
      <w:pPr>
        <w:pStyle w:val="ListParagraph"/>
        <w:numPr>
          <w:ilvl w:val="1"/>
          <w:numId w:val="17"/>
        </w:numPr>
        <w:ind w:left="641" w:hanging="357"/>
        <w:rPr>
          <w:rFonts w:ascii="Arial" w:hAnsi="Arial" w:cs="Arial"/>
        </w:rPr>
      </w:pPr>
      <w:r w:rsidRPr="00AA4414">
        <w:rPr>
          <w:rFonts w:ascii="Arial" w:hAnsi="Arial" w:cs="Arial"/>
        </w:rPr>
        <w:t>provide appropriate assistance for vulnerable perpetrators of anti-social behaviour to prevent and tackle any issues that arise in Wandsworth but also ensure that Wandsworth residents who experience anti-social behaviour are well supported.</w:t>
      </w:r>
    </w:p>
    <w:p w14:paraId="39D3A225" w14:textId="77777777" w:rsidR="00AA4414" w:rsidRDefault="00AA4414" w:rsidP="00585001">
      <w:pPr>
        <w:pStyle w:val="ListParagraph"/>
        <w:ind w:left="0" w:right="-874"/>
        <w:rPr>
          <w:rFonts w:ascii="Arial" w:hAnsi="Arial" w:cs="Arial"/>
        </w:rPr>
      </w:pPr>
    </w:p>
    <w:p w14:paraId="07003219" w14:textId="77777777" w:rsidR="00AA4414" w:rsidRDefault="00B72DD0" w:rsidP="00585001">
      <w:pPr>
        <w:pStyle w:val="ListParagraph"/>
        <w:numPr>
          <w:ilvl w:val="0"/>
          <w:numId w:val="17"/>
        </w:numPr>
        <w:ind w:left="0" w:right="-874"/>
        <w:rPr>
          <w:rFonts w:ascii="Arial" w:hAnsi="Arial" w:cs="Arial"/>
        </w:rPr>
      </w:pPr>
      <w:r w:rsidRPr="00AA4414">
        <w:rPr>
          <w:rFonts w:ascii="Arial" w:hAnsi="Arial" w:cs="Arial"/>
        </w:rPr>
        <w:t xml:space="preserve">The Council is committed to using the full range of powers to tackle anti-social behaviour including interventions such as mediation and provision of support but will, </w:t>
      </w:r>
      <w:r w:rsidRPr="00AA4414">
        <w:rPr>
          <w:rFonts w:ascii="Arial" w:hAnsi="Arial" w:cs="Arial"/>
        </w:rPr>
        <w:lastRenderedPageBreak/>
        <w:t xml:space="preserve">where such interventions do not work, take firm action against any breach of tenancy conditions. </w:t>
      </w:r>
    </w:p>
    <w:p w14:paraId="2D8E9597" w14:textId="77777777" w:rsidR="00AA4414" w:rsidRDefault="00AA4414" w:rsidP="00585001">
      <w:pPr>
        <w:pStyle w:val="ListParagraph"/>
        <w:ind w:left="0" w:right="-874"/>
        <w:rPr>
          <w:rFonts w:ascii="Arial" w:hAnsi="Arial" w:cs="Arial"/>
        </w:rPr>
      </w:pPr>
    </w:p>
    <w:p w14:paraId="520D97A6" w14:textId="77777777" w:rsidR="00AA4414" w:rsidRDefault="00B72DD0" w:rsidP="00585001">
      <w:pPr>
        <w:pStyle w:val="ListParagraph"/>
        <w:numPr>
          <w:ilvl w:val="0"/>
          <w:numId w:val="17"/>
        </w:numPr>
        <w:ind w:left="0" w:right="-874"/>
        <w:rPr>
          <w:rFonts w:ascii="Arial" w:hAnsi="Arial" w:cs="Arial"/>
        </w:rPr>
      </w:pPr>
      <w:r w:rsidRPr="00AA4414">
        <w:rPr>
          <w:rFonts w:ascii="Arial" w:hAnsi="Arial" w:cs="Arial"/>
        </w:rPr>
        <w:t xml:space="preserve">The Council expects registered providers of social housing in Wandsworth to take the same approach and to work in partnership with the Council to tackle anti-social behaviour. In particular, it would not be appropriate for a registered provider to seek possession of a property where there would then be a duty on the Council to provide accommodation, except where there is an agreed plan of action. </w:t>
      </w:r>
    </w:p>
    <w:p w14:paraId="6E7F9451" w14:textId="77777777" w:rsidR="00AA4414" w:rsidRDefault="00AA4414" w:rsidP="00585001">
      <w:pPr>
        <w:pStyle w:val="ListParagraph"/>
        <w:ind w:left="0" w:right="-874"/>
        <w:rPr>
          <w:rFonts w:ascii="Arial" w:hAnsi="Arial" w:cs="Arial"/>
        </w:rPr>
      </w:pPr>
    </w:p>
    <w:p w14:paraId="2F69DF8A" w14:textId="77777777" w:rsidR="00B72DD0" w:rsidRPr="00934842" w:rsidRDefault="00B72DD0" w:rsidP="00B72DD0">
      <w:pPr>
        <w:ind w:left="-540" w:right="-874"/>
        <w:rPr>
          <w:rFonts w:ascii="Arial" w:hAnsi="Arial" w:cs="Arial"/>
          <w:b/>
          <w:color w:val="000000"/>
          <w:u w:val="single"/>
        </w:rPr>
      </w:pPr>
      <w:r w:rsidRPr="00934842">
        <w:rPr>
          <w:rFonts w:ascii="Arial" w:hAnsi="Arial" w:cs="Arial"/>
        </w:rPr>
        <w:br w:type="page"/>
      </w:r>
      <w:r w:rsidRPr="00934842">
        <w:rPr>
          <w:rFonts w:ascii="Arial" w:hAnsi="Arial" w:cs="Arial"/>
          <w:b/>
          <w:color w:val="000000"/>
          <w:u w:val="single"/>
        </w:rPr>
        <w:lastRenderedPageBreak/>
        <w:t>APPENDIX 1: Succession rights for tenancies that started after 1st April 2012</w:t>
      </w:r>
    </w:p>
    <w:p w14:paraId="0BB16B35" w14:textId="77777777" w:rsidR="00925D4B" w:rsidRDefault="00925D4B" w:rsidP="00B72DD0">
      <w:pPr>
        <w:ind w:left="-540" w:right="-874"/>
        <w:rPr>
          <w:rFonts w:ascii="Arial" w:hAnsi="Arial" w:cs="Arial"/>
          <w:color w:val="000000"/>
          <w:u w:val="single"/>
        </w:rPr>
      </w:pPr>
    </w:p>
    <w:p w14:paraId="306A7AF7" w14:textId="77777777" w:rsidR="00B72DD0" w:rsidRPr="00934842" w:rsidRDefault="00B72DD0" w:rsidP="00B72DD0">
      <w:pPr>
        <w:ind w:left="-540" w:right="-874"/>
        <w:rPr>
          <w:rFonts w:ascii="Arial" w:hAnsi="Arial" w:cs="Arial"/>
          <w:color w:val="000000"/>
          <w:u w:val="single"/>
        </w:rPr>
      </w:pPr>
      <w:r w:rsidRPr="00934842">
        <w:rPr>
          <w:rFonts w:ascii="Arial" w:hAnsi="Arial" w:cs="Arial"/>
          <w:color w:val="000000"/>
          <w:u w:val="single"/>
        </w:rPr>
        <w:t>Succession rights: Secure tenancies that started after 1st April 2012</w:t>
      </w:r>
    </w:p>
    <w:p w14:paraId="7FFC1DBC" w14:textId="77777777" w:rsidR="00B72DD0" w:rsidRPr="00934842" w:rsidRDefault="00B72DD0" w:rsidP="00B72DD0">
      <w:pPr>
        <w:ind w:left="-540" w:right="-874"/>
        <w:rPr>
          <w:rFonts w:ascii="Arial" w:hAnsi="Arial" w:cs="Arial"/>
          <w:color w:val="000000"/>
          <w:u w:val="single"/>
        </w:rPr>
      </w:pPr>
    </w:p>
    <w:p w14:paraId="060DA47F" w14:textId="77777777" w:rsidR="00B72DD0" w:rsidRPr="00934842" w:rsidRDefault="00B72DD0" w:rsidP="00B72DD0">
      <w:pPr>
        <w:ind w:left="-540" w:right="-874"/>
        <w:rPr>
          <w:rFonts w:ascii="Arial" w:hAnsi="Arial" w:cs="Arial"/>
          <w:color w:val="000000"/>
        </w:rPr>
      </w:pPr>
      <w:r w:rsidRPr="00934842">
        <w:rPr>
          <w:rFonts w:ascii="Arial" w:hAnsi="Arial" w:cs="Arial"/>
          <w:color w:val="000000"/>
        </w:rPr>
        <w:t>Secure tenancies cannot be ‘gifted’ in a will.</w:t>
      </w:r>
    </w:p>
    <w:p w14:paraId="546C3E87" w14:textId="77777777" w:rsidR="00B72DD0" w:rsidRPr="00934842" w:rsidRDefault="00B72DD0" w:rsidP="00B72DD0">
      <w:pPr>
        <w:ind w:left="-540" w:right="-874"/>
        <w:rPr>
          <w:rFonts w:ascii="Arial" w:hAnsi="Arial" w:cs="Arial"/>
          <w:b/>
          <w:color w:val="000000"/>
        </w:rPr>
      </w:pPr>
    </w:p>
    <w:p w14:paraId="57A7A931" w14:textId="77777777" w:rsidR="00B72DD0" w:rsidRPr="00934842" w:rsidRDefault="00B72DD0" w:rsidP="00B72DD0">
      <w:pPr>
        <w:ind w:left="-540" w:right="-874"/>
        <w:rPr>
          <w:rFonts w:ascii="Arial" w:hAnsi="Arial" w:cs="Arial"/>
          <w:color w:val="000000"/>
        </w:rPr>
      </w:pPr>
      <w:r w:rsidRPr="00934842">
        <w:rPr>
          <w:rFonts w:ascii="Arial" w:hAnsi="Arial" w:cs="Arial"/>
          <w:b/>
          <w:color w:val="000000"/>
        </w:rPr>
        <w:t xml:space="preserve">When a joint tenant with a secure tenancy </w:t>
      </w:r>
      <w:r w:rsidRPr="00934842">
        <w:rPr>
          <w:rFonts w:ascii="Arial" w:hAnsi="Arial" w:cs="Arial"/>
          <w:color w:val="000000"/>
        </w:rPr>
        <w:t>(including flexible fixed term tenancies but excluding periodic tenancies arising on the termination of a fixed term tenancy)</w:t>
      </w:r>
      <w:r w:rsidRPr="00934842">
        <w:rPr>
          <w:rFonts w:ascii="Arial" w:hAnsi="Arial" w:cs="Arial"/>
          <w:b/>
          <w:color w:val="000000"/>
        </w:rPr>
        <w:t xml:space="preserve"> that started after 1st April 2012 dies</w:t>
      </w:r>
      <w:r w:rsidRPr="00934842">
        <w:rPr>
          <w:rFonts w:ascii="Arial" w:hAnsi="Arial" w:cs="Arial"/>
          <w:color w:val="000000"/>
        </w:rPr>
        <w:t>, the tenancy continues in the remaining joint tenant’s name.</w:t>
      </w:r>
    </w:p>
    <w:p w14:paraId="5612A912" w14:textId="77777777" w:rsidR="00B72DD0" w:rsidRPr="00934842" w:rsidRDefault="00B72DD0" w:rsidP="00B72DD0">
      <w:pPr>
        <w:ind w:left="-540" w:right="-874"/>
        <w:rPr>
          <w:rFonts w:ascii="Arial" w:hAnsi="Arial" w:cs="Arial"/>
          <w:color w:val="000000"/>
          <w:u w:val="single"/>
        </w:rPr>
      </w:pPr>
    </w:p>
    <w:p w14:paraId="24ED0370" w14:textId="77777777" w:rsidR="00B72DD0" w:rsidRPr="00934842" w:rsidRDefault="00B72DD0" w:rsidP="00B72DD0">
      <w:pPr>
        <w:ind w:left="-540" w:right="-874"/>
        <w:rPr>
          <w:rFonts w:ascii="Arial" w:hAnsi="Arial" w:cs="Arial"/>
          <w:color w:val="000000"/>
        </w:rPr>
      </w:pPr>
      <w:r w:rsidRPr="00934842">
        <w:rPr>
          <w:rFonts w:ascii="Arial" w:hAnsi="Arial" w:cs="Arial"/>
          <w:b/>
          <w:color w:val="000000"/>
        </w:rPr>
        <w:t xml:space="preserve">When a sole tenant with a secure tenancy </w:t>
      </w:r>
      <w:r w:rsidRPr="00934842">
        <w:rPr>
          <w:rFonts w:ascii="Arial" w:hAnsi="Arial" w:cs="Arial"/>
          <w:color w:val="000000"/>
        </w:rPr>
        <w:t>(including flexible fixed term tenancies but excluding periodic tenancies arising on the termination of a fixed term tenancy)</w:t>
      </w:r>
      <w:r w:rsidRPr="00934842">
        <w:rPr>
          <w:rFonts w:ascii="Arial" w:hAnsi="Arial" w:cs="Arial"/>
          <w:b/>
          <w:color w:val="000000"/>
        </w:rPr>
        <w:t xml:space="preserve"> that started after 1st April 2012 dies and there has been a previous succession </w:t>
      </w:r>
      <w:r w:rsidRPr="00934842">
        <w:rPr>
          <w:rFonts w:ascii="Arial" w:hAnsi="Arial" w:cs="Arial"/>
          <w:color w:val="000000"/>
        </w:rPr>
        <w:t>(see box below), nobody is entitled to succeed the tenant (take over the tenancy) unless such a right is granted by the tenancy agreement although the landlord may agree to offer a new tenancy.</w:t>
      </w:r>
      <w:r w:rsidRPr="00934842">
        <w:rPr>
          <w:rFonts w:ascii="Arial" w:hAnsi="Arial" w:cs="Arial"/>
          <w:color w:val="000000"/>
        </w:rPr>
        <w:br/>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72DD0" w:rsidRPr="00934842" w14:paraId="631EB3D4" w14:textId="77777777" w:rsidTr="00392EDC">
        <w:tc>
          <w:tcPr>
            <w:tcW w:w="9720" w:type="dxa"/>
          </w:tcPr>
          <w:p w14:paraId="33A9A8BE" w14:textId="77777777" w:rsidR="00B72DD0" w:rsidRPr="00934842" w:rsidRDefault="00B72DD0" w:rsidP="00392EDC">
            <w:pPr>
              <w:ind w:right="-874"/>
              <w:rPr>
                <w:rFonts w:ascii="Arial" w:hAnsi="Arial" w:cs="Arial"/>
                <w:color w:val="000000"/>
              </w:rPr>
            </w:pPr>
            <w:r w:rsidRPr="00934842">
              <w:rPr>
                <w:rFonts w:ascii="Arial" w:hAnsi="Arial" w:cs="Arial"/>
                <w:color w:val="000000"/>
              </w:rPr>
              <w:t xml:space="preserve">There is deemed to have been a previous succession if the tenant who has died </w:t>
            </w:r>
          </w:p>
          <w:p w14:paraId="0EBB5EB0" w14:textId="77777777" w:rsidR="00B72DD0" w:rsidRPr="00934842" w:rsidRDefault="00B72DD0" w:rsidP="00392EDC">
            <w:pPr>
              <w:ind w:right="-874"/>
              <w:rPr>
                <w:rFonts w:ascii="Arial" w:hAnsi="Arial" w:cs="Arial"/>
                <w:color w:val="000000"/>
              </w:rPr>
            </w:pPr>
            <w:r w:rsidRPr="00934842">
              <w:rPr>
                <w:rFonts w:ascii="Arial" w:hAnsi="Arial" w:cs="Arial"/>
                <w:color w:val="000000"/>
              </w:rPr>
              <w:t>either:</w:t>
            </w:r>
          </w:p>
          <w:p w14:paraId="452C3B5D" w14:textId="77777777" w:rsidR="00B72DD0" w:rsidRPr="00934842" w:rsidRDefault="00B72DD0" w:rsidP="00AA4414">
            <w:pPr>
              <w:numPr>
                <w:ilvl w:val="0"/>
                <w:numId w:val="1"/>
              </w:numPr>
              <w:ind w:right="-874"/>
              <w:rPr>
                <w:rFonts w:ascii="Arial" w:hAnsi="Arial" w:cs="Arial"/>
                <w:color w:val="000000"/>
              </w:rPr>
            </w:pPr>
            <w:r w:rsidRPr="00934842">
              <w:rPr>
                <w:rFonts w:ascii="Arial" w:hAnsi="Arial" w:cs="Arial"/>
                <w:color w:val="000000"/>
              </w:rPr>
              <w:t>Had a joint tenancy and became a sole tenant when the joint tenant died; or</w:t>
            </w:r>
          </w:p>
          <w:p w14:paraId="4CEE25D1" w14:textId="77777777" w:rsidR="00B72DD0" w:rsidRPr="00934842" w:rsidRDefault="00B72DD0" w:rsidP="00AA4414">
            <w:pPr>
              <w:numPr>
                <w:ilvl w:val="0"/>
                <w:numId w:val="1"/>
              </w:numPr>
              <w:ind w:right="-874"/>
              <w:rPr>
                <w:rFonts w:ascii="Arial" w:hAnsi="Arial" w:cs="Arial"/>
                <w:color w:val="000000"/>
              </w:rPr>
            </w:pPr>
            <w:r w:rsidRPr="00934842">
              <w:rPr>
                <w:rFonts w:ascii="Arial" w:hAnsi="Arial" w:cs="Arial"/>
                <w:color w:val="000000"/>
              </w:rPr>
              <w:t>Succeeded the tenant (took over the tenancy) when the previous tenant died; or</w:t>
            </w:r>
          </w:p>
          <w:p w14:paraId="672DA441" w14:textId="77777777" w:rsidR="00B72DD0" w:rsidRPr="00934842" w:rsidRDefault="00B72DD0" w:rsidP="00AA4414">
            <w:pPr>
              <w:numPr>
                <w:ilvl w:val="0"/>
                <w:numId w:val="1"/>
              </w:numPr>
              <w:ind w:right="-874"/>
              <w:rPr>
                <w:rFonts w:ascii="Arial" w:hAnsi="Arial" w:cs="Arial"/>
                <w:color w:val="000000"/>
              </w:rPr>
            </w:pPr>
            <w:r w:rsidRPr="00934842">
              <w:rPr>
                <w:rFonts w:ascii="Arial" w:hAnsi="Arial" w:cs="Arial"/>
                <w:color w:val="000000"/>
              </w:rPr>
              <w:t xml:space="preserve">Was a person qualified to succeed who was assigned the tenancy prior to </w:t>
            </w:r>
          </w:p>
          <w:p w14:paraId="5D034FF1" w14:textId="77777777" w:rsidR="00B72DD0" w:rsidRPr="00934842" w:rsidRDefault="00B72DD0" w:rsidP="00392EDC">
            <w:pPr>
              <w:ind w:right="-874"/>
              <w:rPr>
                <w:rFonts w:ascii="Arial" w:hAnsi="Arial" w:cs="Arial"/>
                <w:color w:val="000000"/>
              </w:rPr>
            </w:pPr>
            <w:r w:rsidRPr="00934842">
              <w:rPr>
                <w:rFonts w:ascii="Arial" w:hAnsi="Arial" w:cs="Arial"/>
                <w:color w:val="000000"/>
              </w:rPr>
              <w:t xml:space="preserve">           the tenant’s death.</w:t>
            </w:r>
          </w:p>
        </w:tc>
      </w:tr>
    </w:tbl>
    <w:p w14:paraId="2BE5BFB5" w14:textId="77777777" w:rsidR="00B72DD0" w:rsidRPr="00934842" w:rsidRDefault="00B72DD0" w:rsidP="00B72DD0">
      <w:pPr>
        <w:ind w:left="-540" w:right="-874"/>
        <w:rPr>
          <w:rFonts w:ascii="Arial" w:hAnsi="Arial" w:cs="Arial"/>
          <w:color w:val="000000"/>
          <w:u w:val="single"/>
        </w:rPr>
      </w:pPr>
    </w:p>
    <w:p w14:paraId="27F8479D" w14:textId="77777777" w:rsidR="00B72DD0" w:rsidRPr="00934842" w:rsidRDefault="00B72DD0" w:rsidP="00B72DD0">
      <w:pPr>
        <w:ind w:left="-540" w:right="-874"/>
        <w:rPr>
          <w:rFonts w:ascii="Arial" w:hAnsi="Arial" w:cs="Arial"/>
          <w:color w:val="000000"/>
        </w:rPr>
      </w:pPr>
      <w:r w:rsidRPr="00934842">
        <w:rPr>
          <w:rFonts w:ascii="Arial" w:hAnsi="Arial" w:cs="Arial"/>
          <w:b/>
          <w:color w:val="000000"/>
        </w:rPr>
        <w:t xml:space="preserve">When a sole tenant with a secure tenancy </w:t>
      </w:r>
      <w:r w:rsidRPr="00934842">
        <w:rPr>
          <w:rFonts w:ascii="Arial" w:hAnsi="Arial" w:cs="Arial"/>
          <w:color w:val="000000"/>
        </w:rPr>
        <w:t>(including flexible fixed term tenancies but excluding periodic tenancies arising on the termination of a fixed term tenancy)</w:t>
      </w:r>
      <w:r w:rsidRPr="00934842">
        <w:rPr>
          <w:rFonts w:ascii="Arial" w:hAnsi="Arial" w:cs="Arial"/>
          <w:b/>
          <w:color w:val="000000"/>
        </w:rPr>
        <w:t xml:space="preserve"> that started after 1st April 2012 dies and there has been no previous succession</w:t>
      </w:r>
      <w:r w:rsidRPr="00934842">
        <w:rPr>
          <w:rFonts w:ascii="Arial" w:hAnsi="Arial" w:cs="Arial"/>
          <w:color w:val="000000"/>
        </w:rPr>
        <w:t xml:space="preserve"> (see box above):</w:t>
      </w:r>
    </w:p>
    <w:p w14:paraId="7AE02919" w14:textId="77777777" w:rsidR="00B72DD0" w:rsidRPr="00934842" w:rsidRDefault="00B72DD0" w:rsidP="00B72DD0">
      <w:pPr>
        <w:ind w:left="-540" w:right="-874"/>
        <w:rPr>
          <w:rFonts w:ascii="Arial" w:hAnsi="Arial" w:cs="Arial"/>
          <w:color w:val="000000"/>
        </w:rPr>
      </w:pPr>
    </w:p>
    <w:p w14:paraId="0495A6D6" w14:textId="77777777" w:rsidR="00B72DD0" w:rsidRPr="00934842" w:rsidRDefault="00B72DD0" w:rsidP="00AA4414">
      <w:pPr>
        <w:numPr>
          <w:ilvl w:val="0"/>
          <w:numId w:val="11"/>
        </w:numPr>
        <w:ind w:left="142" w:right="-873" w:hanging="352"/>
        <w:rPr>
          <w:rFonts w:ascii="Arial" w:hAnsi="Arial" w:cs="Arial"/>
          <w:color w:val="000000"/>
        </w:rPr>
      </w:pPr>
      <w:r w:rsidRPr="00934842">
        <w:rPr>
          <w:rFonts w:ascii="Arial" w:hAnsi="Arial" w:cs="Arial"/>
          <w:color w:val="000000"/>
        </w:rPr>
        <w:t xml:space="preserve">The tenant’s spouse or civil partner (or a person with whom the tenant lived as if they were </w:t>
      </w:r>
      <w:r w:rsidR="00910FAA">
        <w:rPr>
          <w:rFonts w:ascii="Arial" w:hAnsi="Arial" w:cs="Arial"/>
          <w:color w:val="000000"/>
        </w:rPr>
        <w:t>spouses</w:t>
      </w:r>
      <w:r w:rsidRPr="00934842">
        <w:rPr>
          <w:rFonts w:ascii="Arial" w:hAnsi="Arial" w:cs="Arial"/>
          <w:color w:val="000000"/>
        </w:rPr>
        <w:t xml:space="preserve"> or civil partners) is qualified to succeed the tenant (take over the tenancy) as long as they were occupying the property as their only or principal home at the time of the tenant’s death. </w:t>
      </w:r>
    </w:p>
    <w:p w14:paraId="7C2E11DE" w14:textId="77777777" w:rsidR="00B72DD0" w:rsidRPr="00934842" w:rsidRDefault="00B72DD0" w:rsidP="00B72DD0">
      <w:pPr>
        <w:ind w:left="-567" w:right="-874"/>
        <w:rPr>
          <w:rFonts w:ascii="Arial" w:hAnsi="Arial" w:cs="Arial"/>
          <w:color w:val="000000"/>
        </w:rPr>
      </w:pPr>
    </w:p>
    <w:p w14:paraId="0E705F59" w14:textId="77777777" w:rsidR="00B72DD0" w:rsidRPr="00934842" w:rsidRDefault="005A5A81" w:rsidP="00AA4414">
      <w:pPr>
        <w:numPr>
          <w:ilvl w:val="0"/>
          <w:numId w:val="11"/>
        </w:numPr>
        <w:ind w:right="-874"/>
        <w:rPr>
          <w:rFonts w:ascii="Arial" w:hAnsi="Arial" w:cs="Arial"/>
          <w:color w:val="000000"/>
        </w:rPr>
      </w:pPr>
      <w:r>
        <w:rPr>
          <w:rFonts w:ascii="Arial" w:hAnsi="Arial" w:cs="Arial"/>
          <w:color w:val="000000"/>
        </w:rPr>
        <w:t>Where there is more than one qualifying person to succeed, the late tenant’s spouse/ civil partner takes precedence but otherwise the qualifying persons must agree amongst themselves who is to take over the tenan</w:t>
      </w:r>
      <w:r w:rsidR="00660634">
        <w:rPr>
          <w:rFonts w:ascii="Arial" w:hAnsi="Arial" w:cs="Arial"/>
          <w:color w:val="000000"/>
        </w:rPr>
        <w:t>cy</w:t>
      </w:r>
      <w:r>
        <w:rPr>
          <w:rFonts w:ascii="Arial" w:hAnsi="Arial" w:cs="Arial"/>
          <w:color w:val="000000"/>
        </w:rPr>
        <w:t xml:space="preserve">. </w:t>
      </w:r>
      <w:r w:rsidR="00B72DD0" w:rsidRPr="00934842">
        <w:rPr>
          <w:rFonts w:ascii="Arial" w:hAnsi="Arial" w:cs="Arial"/>
          <w:color w:val="000000"/>
        </w:rPr>
        <w:t>If they are unable to agree between them, the landlord should choose.</w:t>
      </w:r>
    </w:p>
    <w:p w14:paraId="080689D0" w14:textId="77777777" w:rsidR="00B72DD0" w:rsidRPr="00934842" w:rsidRDefault="00B72DD0" w:rsidP="00B72DD0">
      <w:pPr>
        <w:ind w:left="-540" w:right="-874"/>
        <w:rPr>
          <w:rFonts w:ascii="Arial" w:hAnsi="Arial" w:cs="Arial"/>
          <w:color w:val="000000"/>
        </w:rPr>
      </w:pPr>
    </w:p>
    <w:p w14:paraId="7DE1B80A" w14:textId="77777777" w:rsidR="00B72DD0" w:rsidRPr="00934842" w:rsidRDefault="00B72DD0" w:rsidP="00AA4414">
      <w:pPr>
        <w:numPr>
          <w:ilvl w:val="0"/>
          <w:numId w:val="11"/>
        </w:numPr>
        <w:ind w:right="-874"/>
        <w:rPr>
          <w:rFonts w:ascii="Arial" w:hAnsi="Arial" w:cs="Arial"/>
          <w:color w:val="000000"/>
        </w:rPr>
      </w:pPr>
      <w:r w:rsidRPr="00934842">
        <w:rPr>
          <w:rFonts w:ascii="Arial" w:hAnsi="Arial" w:cs="Arial"/>
          <w:color w:val="000000"/>
        </w:rPr>
        <w:t xml:space="preserve">If the deceased tenant did not have a spouse or civil partner (or a person with whom they lived as if they were </w:t>
      </w:r>
      <w:r w:rsidR="005A5A81">
        <w:rPr>
          <w:rFonts w:ascii="Arial" w:hAnsi="Arial" w:cs="Arial"/>
          <w:color w:val="000000"/>
        </w:rPr>
        <w:t>spouses</w:t>
      </w:r>
      <w:r w:rsidRPr="00934842">
        <w:rPr>
          <w:rFonts w:ascii="Arial" w:hAnsi="Arial" w:cs="Arial"/>
          <w:color w:val="000000"/>
        </w:rPr>
        <w:t xml:space="preserve"> or civil partners) who was occupying the property as their only or principal home at the time of the tenant’s death, nobody is entitled to succeed the tenant (take over the tenancy) unless they are entitled to do so under the tenancy agreement.</w:t>
      </w:r>
    </w:p>
    <w:p w14:paraId="575E62C6" w14:textId="77777777" w:rsidR="00B72DD0" w:rsidRPr="00934842" w:rsidRDefault="00B72DD0" w:rsidP="00B72DD0">
      <w:pPr>
        <w:ind w:left="-540" w:right="-874"/>
        <w:rPr>
          <w:rFonts w:ascii="Arial" w:hAnsi="Arial" w:cs="Arial"/>
          <w:color w:val="000000"/>
        </w:rPr>
      </w:pPr>
    </w:p>
    <w:p w14:paraId="5B002B9B" w14:textId="77777777" w:rsidR="00B72DD0" w:rsidRPr="00934842" w:rsidRDefault="00B72DD0" w:rsidP="00B72DD0">
      <w:pPr>
        <w:ind w:left="-540" w:right="-874"/>
        <w:rPr>
          <w:rFonts w:ascii="Arial" w:hAnsi="Arial" w:cs="Arial"/>
          <w:color w:val="000000"/>
        </w:rPr>
      </w:pPr>
      <w:r w:rsidRPr="00934842">
        <w:rPr>
          <w:rFonts w:ascii="Arial" w:hAnsi="Arial" w:cs="Arial"/>
          <w:color w:val="000000"/>
        </w:rPr>
        <w:t>Where nobody who was living with the tenant is entitled to succeed the tenant (take over the tenancy), the landlord may agree to offer a new tenancy and must do so where the tenancy agreement requires them to.</w:t>
      </w:r>
    </w:p>
    <w:p w14:paraId="3095C5CE" w14:textId="77777777" w:rsidR="00934842" w:rsidRPr="00934842" w:rsidRDefault="00934842" w:rsidP="00B72DD0">
      <w:pPr>
        <w:ind w:left="-540" w:right="-874"/>
        <w:rPr>
          <w:rFonts w:ascii="Arial" w:hAnsi="Arial" w:cs="Arial"/>
          <w:color w:val="000000"/>
        </w:rPr>
      </w:pPr>
    </w:p>
    <w:p w14:paraId="7CD24A45" w14:textId="77777777" w:rsidR="006743A6" w:rsidRDefault="006743A6" w:rsidP="00A6595C">
      <w:pPr>
        <w:ind w:right="-874"/>
        <w:rPr>
          <w:rFonts w:ascii="Arial" w:hAnsi="Arial" w:cs="Arial"/>
          <w:b/>
          <w:color w:val="000000"/>
          <w:u w:val="single"/>
        </w:rPr>
      </w:pPr>
    </w:p>
    <w:p w14:paraId="2A78427D" w14:textId="77777777" w:rsidR="006E08DF" w:rsidRDefault="006E08DF" w:rsidP="00A6595C">
      <w:pPr>
        <w:ind w:right="-874"/>
        <w:rPr>
          <w:rFonts w:ascii="Arial" w:hAnsi="Arial" w:cs="Arial"/>
          <w:b/>
          <w:color w:val="000000"/>
          <w:u w:val="single"/>
        </w:rPr>
      </w:pPr>
    </w:p>
    <w:p w14:paraId="629B6DFB" w14:textId="77777777" w:rsidR="00A6595C" w:rsidRDefault="00A6595C" w:rsidP="00A6595C">
      <w:pPr>
        <w:ind w:right="-874"/>
        <w:rPr>
          <w:rFonts w:ascii="Arial" w:hAnsi="Arial" w:cs="Arial"/>
          <w:b/>
          <w:color w:val="000000"/>
          <w:u w:val="single"/>
        </w:rPr>
      </w:pPr>
    </w:p>
    <w:p w14:paraId="7FD71557" w14:textId="77777777" w:rsidR="00B72DD0" w:rsidRPr="00934842" w:rsidRDefault="00B72DD0" w:rsidP="00B72DD0">
      <w:pPr>
        <w:ind w:left="-540" w:right="-874"/>
        <w:rPr>
          <w:rFonts w:ascii="Arial" w:hAnsi="Arial" w:cs="Arial"/>
          <w:b/>
          <w:color w:val="000000"/>
          <w:u w:val="single"/>
        </w:rPr>
      </w:pPr>
      <w:r w:rsidRPr="00934842">
        <w:rPr>
          <w:rFonts w:ascii="Arial" w:hAnsi="Arial" w:cs="Arial"/>
          <w:b/>
          <w:color w:val="000000"/>
          <w:u w:val="single"/>
        </w:rPr>
        <w:lastRenderedPageBreak/>
        <w:t>APPENDIX 2: Succession rights for tenancies that started before 1st April 2012</w:t>
      </w:r>
      <w:r w:rsidRPr="00934842">
        <w:rPr>
          <w:rFonts w:ascii="Arial" w:hAnsi="Arial" w:cs="Arial"/>
          <w:color w:val="000000"/>
        </w:rPr>
        <w:t xml:space="preserve"> </w:t>
      </w:r>
    </w:p>
    <w:p w14:paraId="795A9EAB" w14:textId="77777777" w:rsidR="00B72DD0" w:rsidRPr="00934842" w:rsidRDefault="00B72DD0" w:rsidP="00B72DD0">
      <w:pPr>
        <w:ind w:left="-540" w:right="-874"/>
        <w:rPr>
          <w:rFonts w:ascii="Arial" w:hAnsi="Arial" w:cs="Arial"/>
          <w:color w:val="000000"/>
          <w:u w:val="single"/>
        </w:rPr>
      </w:pPr>
    </w:p>
    <w:p w14:paraId="2485EDE6" w14:textId="77777777" w:rsidR="00B72DD0" w:rsidRPr="00934842" w:rsidRDefault="00B72DD0" w:rsidP="00B72DD0">
      <w:pPr>
        <w:ind w:left="-540" w:right="-874"/>
        <w:rPr>
          <w:rFonts w:ascii="Arial" w:hAnsi="Arial" w:cs="Arial"/>
          <w:color w:val="000000"/>
          <w:u w:val="single"/>
        </w:rPr>
      </w:pPr>
      <w:r w:rsidRPr="00934842">
        <w:rPr>
          <w:rFonts w:ascii="Arial" w:hAnsi="Arial" w:cs="Arial"/>
          <w:color w:val="000000"/>
          <w:u w:val="single"/>
        </w:rPr>
        <w:t>Succession rights: Secure tenancies that started before 1st April 2012</w:t>
      </w:r>
    </w:p>
    <w:p w14:paraId="41045A0F" w14:textId="77777777" w:rsidR="00B72DD0" w:rsidRPr="00934842" w:rsidRDefault="00B72DD0" w:rsidP="00B72DD0">
      <w:pPr>
        <w:ind w:left="-540" w:right="-874"/>
        <w:rPr>
          <w:rFonts w:ascii="Arial" w:hAnsi="Arial" w:cs="Arial"/>
          <w:color w:val="000000"/>
          <w:u w:val="single"/>
        </w:rPr>
      </w:pPr>
    </w:p>
    <w:p w14:paraId="5EFFD28E" w14:textId="77777777" w:rsidR="00B72DD0" w:rsidRPr="00934842" w:rsidRDefault="00B72DD0" w:rsidP="00B72DD0">
      <w:pPr>
        <w:ind w:left="-540" w:right="-874"/>
        <w:rPr>
          <w:rFonts w:ascii="Arial" w:hAnsi="Arial" w:cs="Arial"/>
          <w:color w:val="000000"/>
        </w:rPr>
      </w:pPr>
      <w:r w:rsidRPr="00934842">
        <w:rPr>
          <w:rFonts w:ascii="Arial" w:hAnsi="Arial" w:cs="Arial"/>
          <w:color w:val="000000"/>
        </w:rPr>
        <w:t>A secure tenancy cannot be ‘gifted’ in a will.</w:t>
      </w:r>
    </w:p>
    <w:p w14:paraId="173D7B03" w14:textId="77777777" w:rsidR="00B72DD0" w:rsidRPr="00934842" w:rsidRDefault="00B72DD0" w:rsidP="00B72DD0">
      <w:pPr>
        <w:ind w:left="-540" w:right="-874"/>
        <w:rPr>
          <w:rFonts w:ascii="Arial" w:hAnsi="Arial" w:cs="Arial"/>
          <w:color w:val="000000"/>
          <w:u w:val="single"/>
        </w:rPr>
      </w:pPr>
    </w:p>
    <w:p w14:paraId="2CA4EB5F" w14:textId="77777777" w:rsidR="00B72DD0" w:rsidRPr="00934842" w:rsidRDefault="00B72DD0" w:rsidP="00B72DD0">
      <w:pPr>
        <w:ind w:left="-540" w:right="-874"/>
        <w:rPr>
          <w:rFonts w:ascii="Arial" w:hAnsi="Arial" w:cs="Arial"/>
          <w:color w:val="000000"/>
        </w:rPr>
      </w:pPr>
      <w:r w:rsidRPr="00934842">
        <w:rPr>
          <w:rFonts w:ascii="Arial" w:hAnsi="Arial" w:cs="Arial"/>
          <w:b/>
          <w:color w:val="000000"/>
        </w:rPr>
        <w:t>When a joint tenant with a secure tenancy that started before 1st April 2012 dies</w:t>
      </w:r>
      <w:r w:rsidRPr="00934842">
        <w:rPr>
          <w:rFonts w:ascii="Arial" w:hAnsi="Arial" w:cs="Arial"/>
          <w:color w:val="000000"/>
        </w:rPr>
        <w:t>, the tenancy continues in the remaining joint tenant’s name.</w:t>
      </w:r>
    </w:p>
    <w:p w14:paraId="4DE667B7" w14:textId="77777777" w:rsidR="00B72DD0" w:rsidRPr="00934842" w:rsidRDefault="00B72DD0" w:rsidP="00B72DD0">
      <w:pPr>
        <w:ind w:left="-540" w:right="-874"/>
        <w:rPr>
          <w:rFonts w:ascii="Arial" w:hAnsi="Arial" w:cs="Arial"/>
          <w:color w:val="000000"/>
        </w:rPr>
      </w:pPr>
    </w:p>
    <w:p w14:paraId="1B25A6E8" w14:textId="77777777" w:rsidR="00B72DD0" w:rsidRPr="00934842" w:rsidRDefault="00B72DD0" w:rsidP="00B72DD0">
      <w:pPr>
        <w:ind w:left="-540" w:right="-874"/>
        <w:rPr>
          <w:rFonts w:ascii="Arial" w:hAnsi="Arial" w:cs="Arial"/>
          <w:color w:val="000000"/>
        </w:rPr>
      </w:pPr>
      <w:r w:rsidRPr="00934842">
        <w:rPr>
          <w:rFonts w:ascii="Arial" w:hAnsi="Arial" w:cs="Arial"/>
          <w:b/>
          <w:color w:val="000000"/>
        </w:rPr>
        <w:t xml:space="preserve">When a sole tenant with a secure tenancy that started before 1st April 2012 dies and there has been a previous succession </w:t>
      </w:r>
      <w:r w:rsidRPr="00934842">
        <w:rPr>
          <w:rFonts w:ascii="Arial" w:hAnsi="Arial" w:cs="Arial"/>
          <w:color w:val="000000"/>
        </w:rPr>
        <w:t>(see box below), nobody is entitled to succeed the tenant (take over the tenancy) although the landlord may agree to offer a new tenancy.</w:t>
      </w:r>
      <w:r w:rsidRPr="00934842">
        <w:rPr>
          <w:rFonts w:ascii="Arial" w:hAnsi="Arial" w:cs="Arial"/>
          <w:color w:val="000000"/>
        </w:rPr>
        <w:br/>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72DD0" w:rsidRPr="00934842" w14:paraId="18110103" w14:textId="77777777" w:rsidTr="00392EDC">
        <w:tc>
          <w:tcPr>
            <w:tcW w:w="9720" w:type="dxa"/>
          </w:tcPr>
          <w:p w14:paraId="0E80DA71" w14:textId="77777777" w:rsidR="00B72DD0" w:rsidRPr="00934842" w:rsidRDefault="00B72DD0" w:rsidP="00392EDC">
            <w:pPr>
              <w:ind w:right="-874"/>
              <w:rPr>
                <w:rFonts w:ascii="Arial" w:hAnsi="Arial" w:cs="Arial"/>
                <w:color w:val="000000"/>
              </w:rPr>
            </w:pPr>
            <w:r w:rsidRPr="00934842">
              <w:rPr>
                <w:rFonts w:ascii="Arial" w:hAnsi="Arial" w:cs="Arial"/>
                <w:color w:val="000000"/>
              </w:rPr>
              <w:t>There is deemed to have been a previous succession if the tenant who has died either:</w:t>
            </w:r>
          </w:p>
          <w:p w14:paraId="0048D175" w14:textId="77777777" w:rsidR="00B72DD0" w:rsidRPr="00934842" w:rsidRDefault="00B72DD0" w:rsidP="00AA4414">
            <w:pPr>
              <w:numPr>
                <w:ilvl w:val="0"/>
                <w:numId w:val="6"/>
              </w:numPr>
              <w:ind w:right="-874"/>
              <w:rPr>
                <w:rFonts w:ascii="Arial" w:hAnsi="Arial" w:cs="Arial"/>
                <w:color w:val="000000"/>
              </w:rPr>
            </w:pPr>
            <w:r w:rsidRPr="00934842">
              <w:rPr>
                <w:rFonts w:ascii="Arial" w:hAnsi="Arial" w:cs="Arial"/>
                <w:color w:val="000000"/>
              </w:rPr>
              <w:t>Had a joint tenancy and became a sole tenant when the joint tenant died; or</w:t>
            </w:r>
          </w:p>
          <w:p w14:paraId="04983605" w14:textId="77777777" w:rsidR="00B72DD0" w:rsidRPr="00934842" w:rsidRDefault="00B72DD0" w:rsidP="00AA4414">
            <w:pPr>
              <w:numPr>
                <w:ilvl w:val="0"/>
                <w:numId w:val="6"/>
              </w:numPr>
              <w:ind w:right="-874"/>
              <w:rPr>
                <w:rFonts w:ascii="Arial" w:hAnsi="Arial" w:cs="Arial"/>
                <w:color w:val="000000"/>
              </w:rPr>
            </w:pPr>
            <w:r w:rsidRPr="00934842">
              <w:rPr>
                <w:rFonts w:ascii="Arial" w:hAnsi="Arial" w:cs="Arial"/>
                <w:color w:val="000000"/>
              </w:rPr>
              <w:t>Succeeded to (took over) the tenancy when the previous tenant died; or</w:t>
            </w:r>
          </w:p>
          <w:p w14:paraId="5E5D205A" w14:textId="77777777" w:rsidR="00B72DD0" w:rsidRPr="00934842" w:rsidRDefault="00B72DD0" w:rsidP="00AA4414">
            <w:pPr>
              <w:numPr>
                <w:ilvl w:val="0"/>
                <w:numId w:val="6"/>
              </w:numPr>
              <w:ind w:right="-874"/>
              <w:rPr>
                <w:rFonts w:ascii="Arial" w:hAnsi="Arial" w:cs="Arial"/>
                <w:color w:val="000000"/>
              </w:rPr>
            </w:pPr>
            <w:r w:rsidRPr="00934842">
              <w:rPr>
                <w:rFonts w:ascii="Arial" w:hAnsi="Arial" w:cs="Arial"/>
                <w:color w:val="000000"/>
              </w:rPr>
              <w:t xml:space="preserve">Was a person qualified to succeed who was assigned the tenancy prior to </w:t>
            </w:r>
          </w:p>
          <w:p w14:paraId="35AF104C" w14:textId="77777777" w:rsidR="00B72DD0" w:rsidRPr="00934842" w:rsidRDefault="00B72DD0" w:rsidP="00392EDC">
            <w:pPr>
              <w:ind w:left="360" w:right="-874"/>
              <w:rPr>
                <w:rFonts w:ascii="Arial" w:hAnsi="Arial" w:cs="Arial"/>
                <w:color w:val="000000"/>
              </w:rPr>
            </w:pPr>
            <w:r w:rsidRPr="00934842">
              <w:rPr>
                <w:rFonts w:ascii="Arial" w:hAnsi="Arial" w:cs="Arial"/>
                <w:color w:val="000000"/>
              </w:rPr>
              <w:t xml:space="preserve">      the tenant’s death.</w:t>
            </w:r>
          </w:p>
        </w:tc>
      </w:tr>
    </w:tbl>
    <w:p w14:paraId="5F609BEA" w14:textId="77777777" w:rsidR="00B72DD0" w:rsidRPr="00934842" w:rsidRDefault="00B72DD0" w:rsidP="00B72DD0">
      <w:pPr>
        <w:ind w:left="-540" w:right="-874"/>
        <w:rPr>
          <w:rFonts w:ascii="Arial" w:hAnsi="Arial" w:cs="Arial"/>
          <w:color w:val="000000"/>
        </w:rPr>
      </w:pPr>
    </w:p>
    <w:p w14:paraId="184A5952" w14:textId="77777777" w:rsidR="00B72DD0" w:rsidRPr="00934842" w:rsidRDefault="00B72DD0" w:rsidP="00B72DD0">
      <w:pPr>
        <w:ind w:left="-540" w:right="-874"/>
        <w:rPr>
          <w:rFonts w:ascii="Arial" w:hAnsi="Arial" w:cs="Arial"/>
          <w:color w:val="000000"/>
        </w:rPr>
      </w:pPr>
      <w:r w:rsidRPr="00934842">
        <w:rPr>
          <w:rFonts w:ascii="Arial" w:hAnsi="Arial" w:cs="Arial"/>
          <w:b/>
          <w:color w:val="000000"/>
        </w:rPr>
        <w:t>When a sole tenant with a secure tenancy that started before 1st April 2012</w:t>
      </w:r>
      <w:r w:rsidRPr="00934842">
        <w:rPr>
          <w:rFonts w:ascii="Arial" w:hAnsi="Arial" w:cs="Arial"/>
          <w:color w:val="000000"/>
        </w:rPr>
        <w:t xml:space="preserve"> </w:t>
      </w:r>
      <w:r w:rsidRPr="00934842">
        <w:rPr>
          <w:rFonts w:ascii="Arial" w:hAnsi="Arial" w:cs="Arial"/>
          <w:b/>
          <w:color w:val="000000"/>
        </w:rPr>
        <w:t>dies and there has been no previous succession</w:t>
      </w:r>
      <w:r w:rsidRPr="00934842">
        <w:rPr>
          <w:rFonts w:ascii="Arial" w:hAnsi="Arial" w:cs="Arial"/>
          <w:color w:val="000000"/>
        </w:rPr>
        <w:t xml:space="preserve"> (see box above):</w:t>
      </w:r>
      <w:r w:rsidRPr="00934842">
        <w:rPr>
          <w:rFonts w:ascii="Arial" w:hAnsi="Arial" w:cs="Arial"/>
          <w:color w:val="000000"/>
        </w:rPr>
        <w:br/>
      </w:r>
    </w:p>
    <w:p w14:paraId="7751552F" w14:textId="77777777" w:rsidR="00B72DD0" w:rsidRPr="00934842" w:rsidRDefault="00B72DD0" w:rsidP="00AA4414">
      <w:pPr>
        <w:numPr>
          <w:ilvl w:val="0"/>
          <w:numId w:val="2"/>
        </w:numPr>
        <w:ind w:right="-874"/>
        <w:rPr>
          <w:rFonts w:ascii="Arial" w:hAnsi="Arial" w:cs="Arial"/>
          <w:color w:val="000000"/>
        </w:rPr>
      </w:pPr>
      <w:r w:rsidRPr="00934842">
        <w:rPr>
          <w:rFonts w:ascii="Arial" w:hAnsi="Arial" w:cs="Arial"/>
          <w:color w:val="000000"/>
        </w:rPr>
        <w:t>The tenant’s spouse or civil partner is legally entitled to succeed the tenant (take over the tenancy) as long as they were occupying the property as their only or principal home at the time of the tenant’s death.</w:t>
      </w:r>
    </w:p>
    <w:p w14:paraId="063DE756" w14:textId="77777777" w:rsidR="00B72DD0" w:rsidRPr="00934842" w:rsidRDefault="00B72DD0" w:rsidP="00AA4414">
      <w:pPr>
        <w:numPr>
          <w:ilvl w:val="0"/>
          <w:numId w:val="2"/>
        </w:numPr>
        <w:ind w:right="-874"/>
        <w:rPr>
          <w:rFonts w:ascii="Arial" w:hAnsi="Arial" w:cs="Arial"/>
          <w:color w:val="000000"/>
        </w:rPr>
      </w:pPr>
      <w:r w:rsidRPr="00934842">
        <w:rPr>
          <w:rFonts w:ascii="Arial" w:hAnsi="Arial" w:cs="Arial"/>
          <w:color w:val="000000"/>
        </w:rPr>
        <w:t xml:space="preserve">If the deceased tenant did not have a spouse or civil partner who was occupying the property as their only or principal home at the time of the tenant’s death, certain members of the tenant’s family including partners (see below) qualify to succeed the tenant (take over the tenancy) as long as they were occupying the property as their only or principal home at the time of the tenant’s death and had been living with the tenant for at least 12 months prior to their death. However, where the property is larger than reasonably required by the successor tenant and / or it has been adapted for a disabled person, the successor tenant may be legally required to move to a smaller property. </w:t>
      </w:r>
    </w:p>
    <w:p w14:paraId="0FE07A14" w14:textId="77777777" w:rsidR="00B72DD0" w:rsidRPr="00934842" w:rsidRDefault="00B72DD0" w:rsidP="00B72DD0">
      <w:pPr>
        <w:ind w:right="-874"/>
        <w:rPr>
          <w:rFonts w:ascii="Arial" w:hAnsi="Arial" w:cs="Arial"/>
          <w:color w:val="000000"/>
        </w:rPr>
      </w:pPr>
    </w:p>
    <w:p w14:paraId="31B80EB5" w14:textId="77777777" w:rsidR="00B72DD0" w:rsidRPr="00934842" w:rsidRDefault="00B72DD0" w:rsidP="00B72DD0">
      <w:pPr>
        <w:ind w:left="-540" w:right="-874"/>
        <w:rPr>
          <w:rFonts w:ascii="Arial" w:hAnsi="Arial" w:cs="Arial"/>
          <w:color w:val="000000"/>
        </w:rPr>
      </w:pPr>
      <w:r w:rsidRPr="00934842">
        <w:rPr>
          <w:rFonts w:ascii="Arial" w:hAnsi="Arial" w:cs="Arial"/>
          <w:color w:val="000000"/>
        </w:rPr>
        <w:t>The following people qualify to succeed the tenant (take over the tenancy) as long as the conditions outlined above are met:</w:t>
      </w:r>
      <w:r w:rsidRPr="00934842">
        <w:rPr>
          <w:rFonts w:ascii="Arial" w:hAnsi="Arial" w:cs="Arial"/>
          <w:color w:val="000000"/>
        </w:rPr>
        <w:br/>
      </w:r>
    </w:p>
    <w:p w14:paraId="7D190D7E" w14:textId="77777777" w:rsidR="00B72DD0" w:rsidRPr="00934842" w:rsidRDefault="00B72DD0" w:rsidP="00AA4414">
      <w:pPr>
        <w:numPr>
          <w:ilvl w:val="0"/>
          <w:numId w:val="3"/>
        </w:numPr>
        <w:ind w:right="-874"/>
        <w:rPr>
          <w:rFonts w:ascii="Arial" w:hAnsi="Arial" w:cs="Arial"/>
          <w:color w:val="000000"/>
        </w:rPr>
      </w:pPr>
      <w:r w:rsidRPr="00934842">
        <w:rPr>
          <w:rFonts w:ascii="Arial" w:hAnsi="Arial" w:cs="Arial"/>
          <w:color w:val="000000"/>
        </w:rPr>
        <w:t xml:space="preserve">The tenant’s partner i.e. a person with whom the tenant lived as if they were </w:t>
      </w:r>
      <w:r w:rsidR="006E08A3">
        <w:rPr>
          <w:rFonts w:ascii="Arial" w:hAnsi="Arial" w:cs="Arial"/>
          <w:color w:val="000000"/>
        </w:rPr>
        <w:t>spouses</w:t>
      </w:r>
      <w:r w:rsidRPr="00934842">
        <w:rPr>
          <w:rFonts w:ascii="Arial" w:hAnsi="Arial" w:cs="Arial"/>
          <w:color w:val="000000"/>
        </w:rPr>
        <w:t xml:space="preserve"> or civil partners;</w:t>
      </w:r>
    </w:p>
    <w:p w14:paraId="45278F83" w14:textId="77777777" w:rsidR="00B72DD0" w:rsidRPr="00934842" w:rsidRDefault="00B72DD0" w:rsidP="00AA4414">
      <w:pPr>
        <w:numPr>
          <w:ilvl w:val="0"/>
          <w:numId w:val="3"/>
        </w:numPr>
        <w:ind w:right="-874"/>
        <w:rPr>
          <w:rFonts w:ascii="Arial" w:hAnsi="Arial" w:cs="Arial"/>
          <w:color w:val="000000"/>
        </w:rPr>
      </w:pPr>
      <w:r w:rsidRPr="00934842">
        <w:rPr>
          <w:rFonts w:ascii="Arial" w:hAnsi="Arial" w:cs="Arial"/>
          <w:color w:val="000000"/>
        </w:rPr>
        <w:t>The tenant’s parent, grandparent, child, grandchild, brother, sister, uncle, aunt, niece or nephew</w:t>
      </w:r>
    </w:p>
    <w:p w14:paraId="19B96E6E" w14:textId="77777777" w:rsidR="00B72DD0" w:rsidRPr="00934842" w:rsidRDefault="00B72DD0" w:rsidP="00AA4414">
      <w:pPr>
        <w:numPr>
          <w:ilvl w:val="1"/>
          <w:numId w:val="3"/>
        </w:numPr>
        <w:ind w:right="-874"/>
        <w:rPr>
          <w:rFonts w:ascii="Arial" w:hAnsi="Arial" w:cs="Arial"/>
          <w:color w:val="000000"/>
        </w:rPr>
      </w:pPr>
      <w:r w:rsidRPr="00934842">
        <w:rPr>
          <w:rFonts w:ascii="Arial" w:hAnsi="Arial" w:cs="Arial"/>
          <w:color w:val="000000"/>
        </w:rPr>
        <w:t>A relationship by marriage is treated as a relationship by blood and the stepchild of a person is treated as his or her child;</w:t>
      </w:r>
    </w:p>
    <w:p w14:paraId="79CE43A1" w14:textId="77777777" w:rsidR="00B72DD0" w:rsidRPr="00934842" w:rsidRDefault="00B72DD0" w:rsidP="00AA4414">
      <w:pPr>
        <w:numPr>
          <w:ilvl w:val="1"/>
          <w:numId w:val="3"/>
        </w:numPr>
        <w:ind w:right="-874"/>
        <w:rPr>
          <w:rFonts w:ascii="Arial" w:hAnsi="Arial" w:cs="Arial"/>
          <w:color w:val="000000"/>
        </w:rPr>
      </w:pPr>
      <w:r w:rsidRPr="00934842">
        <w:rPr>
          <w:rFonts w:ascii="Arial" w:hAnsi="Arial" w:cs="Arial"/>
          <w:color w:val="000000"/>
        </w:rPr>
        <w:t>A relationship of the half blood is treated as a relationship of the whole blood;</w:t>
      </w:r>
    </w:p>
    <w:p w14:paraId="7905773D" w14:textId="77777777" w:rsidR="00B72DD0" w:rsidRPr="00934842" w:rsidRDefault="00B72DD0" w:rsidP="00AA4414">
      <w:pPr>
        <w:numPr>
          <w:ilvl w:val="1"/>
          <w:numId w:val="3"/>
        </w:numPr>
        <w:ind w:right="-874"/>
        <w:rPr>
          <w:rFonts w:ascii="Arial" w:hAnsi="Arial" w:cs="Arial"/>
          <w:color w:val="000000"/>
        </w:rPr>
      </w:pPr>
      <w:r w:rsidRPr="00934842">
        <w:rPr>
          <w:rFonts w:ascii="Arial" w:hAnsi="Arial" w:cs="Arial"/>
          <w:color w:val="000000"/>
        </w:rPr>
        <w:t>An illegitimate child is treated as the legitimate child or his or her mother and reputed father.</w:t>
      </w:r>
    </w:p>
    <w:p w14:paraId="61BC53D2" w14:textId="77777777" w:rsidR="00B72DD0" w:rsidRPr="00934842" w:rsidRDefault="00B72DD0" w:rsidP="00B72DD0">
      <w:pPr>
        <w:ind w:left="-540" w:right="-874"/>
        <w:rPr>
          <w:rFonts w:ascii="Arial" w:hAnsi="Arial" w:cs="Arial"/>
          <w:color w:val="000000"/>
        </w:rPr>
      </w:pPr>
    </w:p>
    <w:p w14:paraId="10E89874" w14:textId="77777777" w:rsidR="00B72DD0" w:rsidRPr="00934842" w:rsidRDefault="00B72DD0" w:rsidP="00B72DD0">
      <w:pPr>
        <w:ind w:left="-540" w:right="-874"/>
        <w:rPr>
          <w:rFonts w:ascii="Arial" w:hAnsi="Arial" w:cs="Arial"/>
          <w:color w:val="000000"/>
        </w:rPr>
      </w:pPr>
      <w:r w:rsidRPr="00934842">
        <w:rPr>
          <w:rFonts w:ascii="Arial" w:hAnsi="Arial" w:cs="Arial"/>
          <w:color w:val="000000"/>
        </w:rPr>
        <w:lastRenderedPageBreak/>
        <w:t>If more than one person qualifies to succeed the tenant (take over the tenancy) they should choose between them which one of them should succeed the tenant (take over the tenancy). If they are unable to agree between them, the landlord should choose.</w:t>
      </w:r>
    </w:p>
    <w:sectPr w:rsidR="00B72DD0" w:rsidRPr="00934842" w:rsidSect="00392EDC">
      <w:headerReference w:type="even" r:id="rId11"/>
      <w:headerReference w:type="default" r:id="rId12"/>
      <w:footerReference w:type="even" r:id="rId13"/>
      <w:footerReference w:type="default" r:id="rId14"/>
      <w:headerReference w:type="first" r:id="rId15"/>
      <w:pgSz w:w="11906" w:h="16838"/>
      <w:pgMar w:top="1440" w:right="1800" w:bottom="1440"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A34C" w14:textId="77777777" w:rsidR="007F3788" w:rsidRDefault="007F3788" w:rsidP="00B72DD0">
      <w:r>
        <w:separator/>
      </w:r>
    </w:p>
  </w:endnote>
  <w:endnote w:type="continuationSeparator" w:id="0">
    <w:p w14:paraId="47273CD4" w14:textId="77777777" w:rsidR="007F3788" w:rsidRDefault="007F3788" w:rsidP="00B7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C69B" w14:textId="77777777" w:rsidR="003733CB" w:rsidRDefault="00F0756A" w:rsidP="00392EDC">
    <w:pPr>
      <w:pStyle w:val="Footer"/>
      <w:framePr w:wrap="around" w:vAnchor="text" w:hAnchor="margin" w:xAlign="center" w:y="1"/>
      <w:rPr>
        <w:rStyle w:val="PageNumber"/>
      </w:rPr>
    </w:pPr>
    <w:r>
      <w:rPr>
        <w:rStyle w:val="PageNumber"/>
      </w:rPr>
      <w:fldChar w:fldCharType="begin"/>
    </w:r>
    <w:r w:rsidR="003733CB">
      <w:rPr>
        <w:rStyle w:val="PageNumber"/>
      </w:rPr>
      <w:instrText xml:space="preserve">PAGE  </w:instrText>
    </w:r>
    <w:r>
      <w:rPr>
        <w:rStyle w:val="PageNumber"/>
      </w:rPr>
      <w:fldChar w:fldCharType="end"/>
    </w:r>
  </w:p>
  <w:p w14:paraId="3A150A8A" w14:textId="77777777" w:rsidR="003733CB" w:rsidRDefault="00373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9E78" w14:textId="77777777" w:rsidR="003733CB" w:rsidRPr="009D5074" w:rsidRDefault="003733CB" w:rsidP="00392EDC">
    <w:pPr>
      <w:pStyle w:val="Footer"/>
      <w:framePr w:w="1561" w:wrap="around" w:vAnchor="text" w:hAnchor="page" w:x="5401" w:y="-13"/>
      <w:rPr>
        <w:rStyle w:val="PageNumber"/>
        <w:rFonts w:ascii="Arial" w:hAnsi="Arial" w:cs="Arial"/>
      </w:rPr>
    </w:pPr>
    <w:r w:rsidRPr="009D5074">
      <w:rPr>
        <w:rStyle w:val="PageNumber"/>
        <w:rFonts w:ascii="Arial" w:hAnsi="Arial" w:cs="Arial"/>
      </w:rPr>
      <w:t xml:space="preserve">Page </w:t>
    </w:r>
    <w:r w:rsidR="00F0756A" w:rsidRPr="009D5074">
      <w:rPr>
        <w:rStyle w:val="PageNumber"/>
        <w:rFonts w:ascii="Arial" w:hAnsi="Arial" w:cs="Arial"/>
      </w:rPr>
      <w:fldChar w:fldCharType="begin"/>
    </w:r>
    <w:r w:rsidRPr="009D5074">
      <w:rPr>
        <w:rStyle w:val="PageNumber"/>
        <w:rFonts w:ascii="Arial" w:hAnsi="Arial" w:cs="Arial"/>
      </w:rPr>
      <w:instrText xml:space="preserve">PAGE  </w:instrText>
    </w:r>
    <w:r w:rsidR="00F0756A" w:rsidRPr="009D5074">
      <w:rPr>
        <w:rStyle w:val="PageNumber"/>
        <w:rFonts w:ascii="Arial" w:hAnsi="Arial" w:cs="Arial"/>
      </w:rPr>
      <w:fldChar w:fldCharType="separate"/>
    </w:r>
    <w:r w:rsidR="009C2844">
      <w:rPr>
        <w:rStyle w:val="PageNumber"/>
        <w:rFonts w:ascii="Arial" w:hAnsi="Arial" w:cs="Arial"/>
        <w:noProof/>
      </w:rPr>
      <w:t>6</w:t>
    </w:r>
    <w:r w:rsidR="00F0756A" w:rsidRPr="009D5074">
      <w:rPr>
        <w:rStyle w:val="PageNumber"/>
        <w:rFonts w:ascii="Arial" w:hAnsi="Arial" w:cs="Arial"/>
      </w:rPr>
      <w:fldChar w:fldCharType="end"/>
    </w:r>
    <w:r w:rsidRPr="009D5074">
      <w:rPr>
        <w:rStyle w:val="PageNumber"/>
        <w:rFonts w:ascii="Arial" w:hAnsi="Arial" w:cs="Arial"/>
      </w:rPr>
      <w:t xml:space="preserve"> of 1</w:t>
    </w:r>
    <w:r w:rsidR="006F31D0">
      <w:rPr>
        <w:rStyle w:val="PageNumber"/>
        <w:rFonts w:ascii="Arial" w:hAnsi="Arial" w:cs="Arial"/>
      </w:rPr>
      <w:t>4</w:t>
    </w:r>
  </w:p>
  <w:p w14:paraId="60F90D0D" w14:textId="77777777" w:rsidR="003733CB" w:rsidRDefault="003733CB" w:rsidP="00392ED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BB2B" w14:textId="77777777" w:rsidR="007F3788" w:rsidRDefault="007F3788" w:rsidP="00B72DD0">
      <w:r>
        <w:separator/>
      </w:r>
    </w:p>
  </w:footnote>
  <w:footnote w:type="continuationSeparator" w:id="0">
    <w:p w14:paraId="496B2EFE" w14:textId="77777777" w:rsidR="007F3788" w:rsidRDefault="007F3788" w:rsidP="00B72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C801" w14:textId="5E9EA1A9" w:rsidR="00522B57" w:rsidRDefault="00955B24">
    <w:pPr>
      <w:pStyle w:val="Header"/>
    </w:pPr>
    <w:r>
      <w:rPr>
        <w:noProof/>
      </w:rPr>
      <mc:AlternateContent>
        <mc:Choice Requires="wps">
          <w:drawing>
            <wp:anchor distT="0" distB="0" distL="0" distR="0" simplePos="0" relativeHeight="251662336" behindDoc="0" locked="0" layoutInCell="1" allowOverlap="1" wp14:anchorId="30EBB7AE" wp14:editId="1EA5EDC0">
              <wp:simplePos x="0" y="0"/>
              <wp:positionH relativeFrom="leftMargin">
                <wp:align>left</wp:align>
              </wp:positionH>
              <wp:positionV relativeFrom="paragraph">
                <wp:posOffset>635</wp:posOffset>
              </wp:positionV>
              <wp:extent cx="443865" cy="44386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6A7D799" w14:textId="77777777" w:rsidR="003C3576" w:rsidRPr="003C3576" w:rsidRDefault="003C3576">
                          <w:pPr>
                            <w:rPr>
                              <w:rFonts w:ascii="Calibri" w:eastAsia="Calibri" w:hAnsi="Calibri" w:cs="Calibri"/>
                              <w:noProof/>
                              <w:color w:val="000000"/>
                              <w:sz w:val="20"/>
                              <w:szCs w:val="20"/>
                            </w:rPr>
                          </w:pPr>
                          <w:r w:rsidRPr="003C357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0EBB7AE" id="_x0000_t202" coordsize="21600,21600" o:spt="202" path="m,l,21600r21600,l21600,xe">
              <v:stroke joinstyle="miter"/>
              <v:path gradientshapeok="t" o:connecttype="rect"/>
            </v:shapetype>
            <v:shape id="Text Box 4" o:spid="_x0000_s1026" type="#_x0000_t202" style="position:absolute;margin-left:0;margin-top:.05pt;width:34.95pt;height:34.95pt;z-index:251662336;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" filled="f" stroked="f">
              <v:textbox style="mso-fit-shape-to-text:t" inset="5pt,0,0,0">
                <w:txbxContent>
                  <w:p w14:paraId="26A7D799" w14:textId="77777777" w:rsidR="003C3576" w:rsidRPr="003C3576" w:rsidRDefault="003C3576">
                    <w:pPr>
                      <w:rPr>
                        <w:rFonts w:ascii="Calibri" w:eastAsia="Calibri" w:hAnsi="Calibri" w:cs="Calibri"/>
                        <w:noProof/>
                        <w:color w:val="000000"/>
                        <w:sz w:val="20"/>
                        <w:szCs w:val="20"/>
                      </w:rPr>
                    </w:pPr>
                    <w:r w:rsidRPr="003C3576">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37B4" w14:textId="225C45CD" w:rsidR="003733CB" w:rsidRPr="003A30C7" w:rsidRDefault="00955B24" w:rsidP="00392EDC">
    <w:pPr>
      <w:pStyle w:val="Header"/>
      <w:ind w:left="-360" w:hanging="180"/>
      <w:rPr>
        <w:rFonts w:ascii="Arial" w:hAnsi="Arial" w:cs="Arial"/>
      </w:rPr>
    </w:pPr>
    <w:r>
      <w:rPr>
        <w:rFonts w:ascii="Arial" w:hAnsi="Arial" w:cs="Arial"/>
        <w:noProof/>
      </w:rPr>
      <mc:AlternateContent>
        <mc:Choice Requires="wps">
          <w:drawing>
            <wp:anchor distT="0" distB="0" distL="0" distR="0" simplePos="0" relativeHeight="251663360" behindDoc="0" locked="0" layoutInCell="1" allowOverlap="1" wp14:anchorId="5DF2667A" wp14:editId="12B41A29">
              <wp:simplePos x="0" y="0"/>
              <wp:positionH relativeFrom="leftMargin">
                <wp:align>left</wp:align>
              </wp:positionH>
              <wp:positionV relativeFrom="paragraph">
                <wp:posOffset>635</wp:posOffset>
              </wp:positionV>
              <wp:extent cx="427355" cy="15494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355" cy="154940"/>
                      </a:xfrm>
                      <a:prstGeom prst="rect">
                        <a:avLst/>
                      </a:prstGeom>
                      <a:noFill/>
                      <a:ln>
                        <a:noFill/>
                      </a:ln>
                    </wps:spPr>
                    <wps:txbx>
                      <w:txbxContent>
                        <w:p w14:paraId="70A25800" w14:textId="77777777" w:rsidR="003C3576" w:rsidRPr="003C3576" w:rsidRDefault="003C3576">
                          <w:pPr>
                            <w:rPr>
                              <w:rFonts w:ascii="Calibri" w:eastAsia="Calibri" w:hAnsi="Calibri" w:cs="Calibri"/>
                              <w:noProof/>
                              <w:color w:val="000000"/>
                              <w:sz w:val="20"/>
                              <w:szCs w:val="20"/>
                            </w:rPr>
                          </w:pPr>
                          <w:r w:rsidRPr="003C357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DF2667A" id="_x0000_t202" coordsize="21600,21600" o:spt="202" path="m,l,21600r21600,l21600,xe">
              <v:stroke joinstyle="miter"/>
              <v:path gradientshapeok="t" o:connecttype="rect"/>
            </v:shapetype>
            <v:shape id="Text Box 3" o:spid="_x0000_s1027" type="#_x0000_t202" style="position:absolute;left:0;text-align:left;margin-left:0;margin-top:.05pt;width:33.65pt;height:12.2pt;z-index:251663360;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" filled="f" stroked="f">
              <v:textbox style="mso-fit-shape-to-text:t" inset="5pt,0,0,0">
                <w:txbxContent>
                  <w:p w14:paraId="70A25800" w14:textId="77777777" w:rsidR="003C3576" w:rsidRPr="003C3576" w:rsidRDefault="003C3576">
                    <w:pPr>
                      <w:rPr>
                        <w:rFonts w:ascii="Calibri" w:eastAsia="Calibri" w:hAnsi="Calibri" w:cs="Calibri"/>
                        <w:noProof/>
                        <w:color w:val="000000"/>
                        <w:sz w:val="20"/>
                        <w:szCs w:val="20"/>
                      </w:rPr>
                    </w:pPr>
                    <w:r w:rsidRPr="003C3576">
                      <w:rPr>
                        <w:rFonts w:ascii="Calibri" w:eastAsia="Calibri" w:hAnsi="Calibri" w:cs="Calibri"/>
                        <w:noProof/>
                        <w:color w:val="000000"/>
                        <w:sz w:val="20"/>
                        <w:szCs w:val="20"/>
                      </w:rPr>
                      <w:t>Official</w:t>
                    </w:r>
                  </w:p>
                </w:txbxContent>
              </v:textbox>
              <w10:wrap type="square" anchorx="margin"/>
            </v:shape>
          </w:pict>
        </mc:Fallback>
      </mc:AlternateContent>
    </w:r>
    <w:r>
      <w:rPr>
        <w:rFonts w:ascii="Arial" w:hAnsi="Arial" w:cs="Arial"/>
        <w:noProof/>
      </w:rPr>
      <mc:AlternateContent>
        <mc:Choice Requires="wps">
          <w:drawing>
            <wp:anchor distT="0" distB="0" distL="114300" distR="114300" simplePos="0" relativeHeight="251659264" behindDoc="0" locked="0" layoutInCell="0" allowOverlap="1" wp14:anchorId="37522F1C" wp14:editId="3E24801E">
              <wp:simplePos x="0" y="0"/>
              <wp:positionH relativeFrom="page">
                <wp:posOffset>0</wp:posOffset>
              </wp:positionH>
              <wp:positionV relativeFrom="page">
                <wp:posOffset>190500</wp:posOffset>
              </wp:positionV>
              <wp:extent cx="7560310" cy="2736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wps:spPr>
                    <wps:txbx>
                      <w:txbxContent>
                        <w:p w14:paraId="50258A16" w14:textId="77777777" w:rsidR="003733CB" w:rsidRPr="00CA3A27" w:rsidRDefault="003733CB" w:rsidP="00392EDC">
                          <w:pPr>
                            <w:rPr>
                              <w:rFonts w:ascii="Calibri" w:hAnsi="Calibri"/>
                              <w:color w:val="000000"/>
                              <w:sz w:val="20"/>
                            </w:rPr>
                          </w:pPr>
                          <w:r w:rsidRPr="00CA3A27">
                            <w:rPr>
                              <w:rFonts w:ascii="Calibri" w:hAnsi="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22F1C" id="Text Box 2" o:spid="_x0000_s1028" type="#_x0000_t202" style="position:absolute;left:0;text-align:left;margin-left:0;margin-top:1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f85QEAAKE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" o:allowincell="f" filled="f" stroked="f">
              <v:textbox inset="20pt,0,,0">
                <w:txbxContent>
                  <w:p w14:paraId="50258A16" w14:textId="77777777" w:rsidR="003733CB" w:rsidRPr="00CA3A27" w:rsidRDefault="003733CB" w:rsidP="00392EDC">
                    <w:pPr>
                      <w:rPr>
                        <w:rFonts w:ascii="Calibri" w:hAnsi="Calibri"/>
                        <w:color w:val="000000"/>
                        <w:sz w:val="20"/>
                      </w:rPr>
                    </w:pPr>
                    <w:r w:rsidRPr="00CA3A27">
                      <w:rPr>
                        <w:rFonts w:ascii="Calibri" w:hAnsi="Calibri"/>
                        <w:color w:val="000000"/>
                        <w:sz w:val="20"/>
                      </w:rPr>
                      <w:t>Official</w:t>
                    </w:r>
                  </w:p>
                </w:txbxContent>
              </v:textbox>
              <w10:wrap anchorx="page" anchory="page"/>
            </v:shape>
          </w:pict>
        </mc:Fallback>
      </mc:AlternateContent>
    </w:r>
    <w:r w:rsidR="003733CB" w:rsidRPr="003A30C7">
      <w:rPr>
        <w:rFonts w:ascii="Arial" w:hAnsi="Arial" w:cs="Arial"/>
      </w:rPr>
      <w:t xml:space="preserve">Wandsworth Council Tenancy and Rent Strategy (published </w:t>
    </w:r>
    <w:r w:rsidR="003532CE">
      <w:rPr>
        <w:rFonts w:ascii="Arial" w:hAnsi="Arial" w:cs="Arial"/>
      </w:rPr>
      <w:t>xxxx</w:t>
    </w:r>
    <w:r w:rsidR="003733CB">
      <w:rPr>
        <w:rFonts w:ascii="Arial" w:hAnsi="Arial" w:cs="Arial"/>
      </w:rPr>
      <w:t xml:space="preserve"> 20</w:t>
    </w:r>
    <w:r w:rsidR="003532CE">
      <w:rPr>
        <w:rFonts w:ascii="Arial" w:hAnsi="Arial" w:cs="Arial"/>
      </w:rPr>
      <w:t>22</w:t>
    </w:r>
    <w:r w:rsidR="003733CB" w:rsidRPr="003A30C7">
      <w:rPr>
        <w:rFonts w:ascii="Arial" w:hAnsi="Arial" w:cs="Aria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1FB4" w14:textId="10AAA8C6" w:rsidR="003733CB" w:rsidRDefault="00955B24">
    <w:pPr>
      <w:pStyle w:val="Header"/>
    </w:pPr>
    <w:r>
      <w:rPr>
        <w:noProof/>
      </w:rPr>
      <mc:AlternateContent>
        <mc:Choice Requires="wps">
          <w:drawing>
            <wp:anchor distT="0" distB="0" distL="114300" distR="114300" simplePos="0" relativeHeight="251660288" behindDoc="0" locked="0" layoutInCell="0" allowOverlap="1" wp14:anchorId="66E62860" wp14:editId="61518D68">
              <wp:simplePos x="0" y="0"/>
              <wp:positionH relativeFrom="page">
                <wp:posOffset>0</wp:posOffset>
              </wp:positionH>
              <wp:positionV relativeFrom="page">
                <wp:posOffset>190500</wp:posOffset>
              </wp:positionV>
              <wp:extent cx="7560310" cy="2736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wps:spPr>
                    <wps:txbx>
                      <w:txbxContent>
                        <w:p w14:paraId="718A150A" w14:textId="77777777" w:rsidR="003733CB" w:rsidRPr="00CA3A27" w:rsidRDefault="003733CB" w:rsidP="00392EDC">
                          <w:pPr>
                            <w:rPr>
                              <w:rFonts w:ascii="Calibri" w:hAnsi="Calibri"/>
                              <w:color w:val="000000"/>
                              <w:sz w:val="20"/>
                            </w:rPr>
                          </w:pPr>
                          <w:r w:rsidRPr="00CA3A27">
                            <w:rPr>
                              <w:rFonts w:ascii="Calibri" w:hAnsi="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62860" id="_x0000_t202" coordsize="21600,21600" o:spt="202" path="m,l,21600r21600,l21600,xe">
              <v:stroke joinstyle="miter"/>
              <v:path gradientshapeok="t" o:connecttype="rect"/>
            </v:shapetype>
            <v:shape id="Text Box 1" o:spid="_x0000_s1029" type="#_x0000_t202" style="position:absolute;margin-left:0;margin-top:15pt;width:595.3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" o:allowincell="f" filled="f" stroked="f">
              <v:textbox inset="20pt,0,,0">
                <w:txbxContent>
                  <w:p w14:paraId="718A150A" w14:textId="77777777" w:rsidR="003733CB" w:rsidRPr="00CA3A27" w:rsidRDefault="003733CB" w:rsidP="00392EDC">
                    <w:pPr>
                      <w:rPr>
                        <w:rFonts w:ascii="Calibri" w:hAnsi="Calibri"/>
                        <w:color w:val="000000"/>
                        <w:sz w:val="20"/>
                      </w:rPr>
                    </w:pPr>
                    <w:r w:rsidRPr="00CA3A27">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88A"/>
    <w:multiLevelType w:val="hybridMultilevel"/>
    <w:tmpl w:val="BE122A4E"/>
    <w:lvl w:ilvl="0" w:tplc="564896E2">
      <w:start w:val="6"/>
      <w:numFmt w:val="decimal"/>
      <w:lvlText w:val="%1."/>
      <w:lvlJc w:val="left"/>
      <w:pPr>
        <w:ind w:left="360" w:hanging="360"/>
      </w:pPr>
      <w:rPr>
        <w:rFonts w:hint="default"/>
        <w:b w:val="0"/>
        <w:i w:val="0"/>
        <w:iCs/>
      </w:rPr>
    </w:lvl>
    <w:lvl w:ilvl="1" w:tplc="08090019">
      <w:start w:val="1"/>
      <w:numFmt w:val="lowerLetter"/>
      <w:lvlText w:val="%2."/>
      <w:lvlJc w:val="left"/>
      <w:pPr>
        <w:ind w:left="360"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 w15:restartNumberingAfterBreak="0">
    <w:nsid w:val="0A482E70"/>
    <w:multiLevelType w:val="hybridMultilevel"/>
    <w:tmpl w:val="711A5CC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16ED3303"/>
    <w:multiLevelType w:val="hybridMultilevel"/>
    <w:tmpl w:val="6A3874F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101183"/>
    <w:multiLevelType w:val="hybridMultilevel"/>
    <w:tmpl w:val="E892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C49B2"/>
    <w:multiLevelType w:val="hybridMultilevel"/>
    <w:tmpl w:val="A12A62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C75DD"/>
    <w:multiLevelType w:val="hybridMultilevel"/>
    <w:tmpl w:val="E0DE3E7C"/>
    <w:lvl w:ilvl="0" w:tplc="08090001">
      <w:start w:val="1"/>
      <w:numFmt w:val="bullet"/>
      <w:lvlText w:val=""/>
      <w:lvlJc w:val="left"/>
      <w:pPr>
        <w:tabs>
          <w:tab w:val="num" w:pos="180"/>
        </w:tabs>
        <w:ind w:left="180" w:hanging="360"/>
      </w:pPr>
      <w:rPr>
        <w:rFonts w:ascii="Symbol" w:hAnsi="Symbol" w:hint="default"/>
      </w:rPr>
    </w:lvl>
    <w:lvl w:ilvl="1" w:tplc="08090003">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20C60F37"/>
    <w:multiLevelType w:val="hybridMultilevel"/>
    <w:tmpl w:val="1E4E12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CB0F66"/>
    <w:multiLevelType w:val="multilevel"/>
    <w:tmpl w:val="28746722"/>
    <w:lvl w:ilvl="0">
      <w:start w:val="1"/>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360"/>
        </w:tabs>
        <w:ind w:left="360" w:hanging="360"/>
      </w:pPr>
      <w:rPr>
        <w:rFonts w:hint="default"/>
        <w:b w:val="0"/>
      </w:rPr>
    </w:lvl>
    <w:lvl w:ilvl="2">
      <w:start w:val="1"/>
      <w:numFmt w:val="lowerRoman"/>
      <w:lvlText w:val="%3."/>
      <w:lvlJc w:val="right"/>
      <w:pPr>
        <w:tabs>
          <w:tab w:val="num" w:pos="605"/>
        </w:tabs>
        <w:ind w:left="605"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238C749E"/>
    <w:multiLevelType w:val="hybridMultilevel"/>
    <w:tmpl w:val="7D16298E"/>
    <w:lvl w:ilvl="0" w:tplc="482C2D7C">
      <w:start w:val="1"/>
      <w:numFmt w:val="decimal"/>
      <w:lvlText w:val="%1."/>
      <w:lvlJc w:val="left"/>
      <w:pPr>
        <w:ind w:left="-180" w:hanging="360"/>
      </w:pPr>
      <w:rPr>
        <w:b w:val="0"/>
      </w:rPr>
    </w:lvl>
    <w:lvl w:ilvl="1" w:tplc="C406CC20">
      <w:start w:val="1"/>
      <w:numFmt w:val="lowerLetter"/>
      <w:lvlText w:val="%2)"/>
      <w:lvlJc w:val="left"/>
      <w:pPr>
        <w:ind w:left="900" w:hanging="360"/>
      </w:pPr>
      <w:rPr>
        <w:b w:val="0"/>
      </w:rPr>
    </w:lvl>
    <w:lvl w:ilvl="2" w:tplc="0809001B">
      <w:start w:val="1"/>
      <w:numFmt w:val="lowerRoman"/>
      <w:lvlText w:val="%3."/>
      <w:lvlJc w:val="right"/>
      <w:pPr>
        <w:ind w:left="1620" w:hanging="180"/>
      </w:pPr>
    </w:lvl>
    <w:lvl w:ilvl="3" w:tplc="0809000F">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9" w15:restartNumberingAfterBreak="0">
    <w:nsid w:val="24906AA3"/>
    <w:multiLevelType w:val="hybridMultilevel"/>
    <w:tmpl w:val="7744C6FE"/>
    <w:lvl w:ilvl="0" w:tplc="482C2D7C">
      <w:start w:val="1"/>
      <w:numFmt w:val="decimal"/>
      <w:lvlText w:val="%1."/>
      <w:lvlJc w:val="left"/>
      <w:pPr>
        <w:ind w:left="-720" w:hanging="360"/>
      </w:pPr>
      <w:rPr>
        <w:b w:val="0"/>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0" w15:restartNumberingAfterBreak="0">
    <w:nsid w:val="315A1620"/>
    <w:multiLevelType w:val="hybridMultilevel"/>
    <w:tmpl w:val="D130A2D2"/>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1" w15:restartNumberingAfterBreak="0">
    <w:nsid w:val="35552A97"/>
    <w:multiLevelType w:val="hybridMultilevel"/>
    <w:tmpl w:val="D486C6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CD488D"/>
    <w:multiLevelType w:val="hybridMultilevel"/>
    <w:tmpl w:val="387E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108D2"/>
    <w:multiLevelType w:val="hybridMultilevel"/>
    <w:tmpl w:val="3948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D41943"/>
    <w:multiLevelType w:val="hybridMultilevel"/>
    <w:tmpl w:val="BFF0ED28"/>
    <w:lvl w:ilvl="0" w:tplc="08090017">
      <w:start w:val="1"/>
      <w:numFmt w:val="lowerLetter"/>
      <w:lvlText w:val="%1)"/>
      <w:lvlJc w:val="left"/>
      <w:pPr>
        <w:tabs>
          <w:tab w:val="num" w:pos="1506"/>
        </w:tabs>
        <w:ind w:left="1506" w:hanging="360"/>
      </w:pPr>
      <w:rPr>
        <w:rFonts w:hint="default"/>
      </w:rPr>
    </w:lvl>
    <w:lvl w:ilvl="1" w:tplc="23ECA1AE">
      <w:start w:val="1"/>
      <w:numFmt w:val="decimal"/>
      <w:lvlText w:val="%2."/>
      <w:lvlJc w:val="left"/>
      <w:pPr>
        <w:tabs>
          <w:tab w:val="num" w:pos="2226"/>
        </w:tabs>
        <w:ind w:left="2226" w:hanging="360"/>
      </w:pPr>
      <w:rPr>
        <w:rFonts w:hint="default"/>
      </w:rPr>
    </w:lvl>
    <w:lvl w:ilvl="2" w:tplc="08090005">
      <w:start w:val="1"/>
      <w:numFmt w:val="bullet"/>
      <w:lvlText w:val=""/>
      <w:lvlJc w:val="left"/>
      <w:pPr>
        <w:tabs>
          <w:tab w:val="num" w:pos="2946"/>
        </w:tabs>
        <w:ind w:left="2946" w:hanging="360"/>
      </w:pPr>
      <w:rPr>
        <w:rFonts w:ascii="Wingdings" w:hAnsi="Wingdings" w:hint="default"/>
      </w:rPr>
    </w:lvl>
    <w:lvl w:ilvl="3" w:tplc="08090001">
      <w:start w:val="1"/>
      <w:numFmt w:val="bullet"/>
      <w:lvlText w:val=""/>
      <w:lvlJc w:val="left"/>
      <w:pPr>
        <w:tabs>
          <w:tab w:val="num" w:pos="3666"/>
        </w:tabs>
        <w:ind w:left="3666" w:hanging="360"/>
      </w:pPr>
      <w:rPr>
        <w:rFonts w:ascii="Symbol" w:hAnsi="Symbol" w:hint="default"/>
      </w:rPr>
    </w:lvl>
    <w:lvl w:ilvl="4" w:tplc="08090003">
      <w:start w:val="1"/>
      <w:numFmt w:val="bullet"/>
      <w:lvlText w:val="o"/>
      <w:lvlJc w:val="left"/>
      <w:pPr>
        <w:tabs>
          <w:tab w:val="num" w:pos="4386"/>
        </w:tabs>
        <w:ind w:left="4386" w:hanging="360"/>
      </w:pPr>
      <w:rPr>
        <w:rFonts w:ascii="Courier New" w:hAnsi="Courier New" w:cs="Courier New" w:hint="default"/>
      </w:rPr>
    </w:lvl>
    <w:lvl w:ilvl="5" w:tplc="08090005" w:tentative="1">
      <w:start w:val="1"/>
      <w:numFmt w:val="bullet"/>
      <w:lvlText w:val=""/>
      <w:lvlJc w:val="left"/>
      <w:pPr>
        <w:tabs>
          <w:tab w:val="num" w:pos="5106"/>
        </w:tabs>
        <w:ind w:left="5106" w:hanging="360"/>
      </w:pPr>
      <w:rPr>
        <w:rFonts w:ascii="Wingdings" w:hAnsi="Wingdings" w:hint="default"/>
      </w:rPr>
    </w:lvl>
    <w:lvl w:ilvl="6" w:tplc="08090001" w:tentative="1">
      <w:start w:val="1"/>
      <w:numFmt w:val="bullet"/>
      <w:lvlText w:val=""/>
      <w:lvlJc w:val="left"/>
      <w:pPr>
        <w:tabs>
          <w:tab w:val="num" w:pos="5826"/>
        </w:tabs>
        <w:ind w:left="5826" w:hanging="360"/>
      </w:pPr>
      <w:rPr>
        <w:rFonts w:ascii="Symbol" w:hAnsi="Symbol" w:hint="default"/>
      </w:rPr>
    </w:lvl>
    <w:lvl w:ilvl="7" w:tplc="08090003" w:tentative="1">
      <w:start w:val="1"/>
      <w:numFmt w:val="bullet"/>
      <w:lvlText w:val="o"/>
      <w:lvlJc w:val="left"/>
      <w:pPr>
        <w:tabs>
          <w:tab w:val="num" w:pos="6546"/>
        </w:tabs>
        <w:ind w:left="6546" w:hanging="360"/>
      </w:pPr>
      <w:rPr>
        <w:rFonts w:ascii="Courier New" w:hAnsi="Courier New" w:cs="Courier New" w:hint="default"/>
      </w:rPr>
    </w:lvl>
    <w:lvl w:ilvl="8" w:tplc="08090005" w:tentative="1">
      <w:start w:val="1"/>
      <w:numFmt w:val="bullet"/>
      <w:lvlText w:val=""/>
      <w:lvlJc w:val="left"/>
      <w:pPr>
        <w:tabs>
          <w:tab w:val="num" w:pos="7266"/>
        </w:tabs>
        <w:ind w:left="7266" w:hanging="360"/>
      </w:pPr>
      <w:rPr>
        <w:rFonts w:ascii="Wingdings" w:hAnsi="Wingdings" w:hint="default"/>
      </w:rPr>
    </w:lvl>
  </w:abstractNum>
  <w:abstractNum w:abstractNumId="15" w15:restartNumberingAfterBreak="0">
    <w:nsid w:val="4CEE1CBA"/>
    <w:multiLevelType w:val="hybridMultilevel"/>
    <w:tmpl w:val="7632E500"/>
    <w:lvl w:ilvl="0" w:tplc="0E529C58">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5E3CD3"/>
    <w:multiLevelType w:val="hybridMultilevel"/>
    <w:tmpl w:val="4898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40970"/>
    <w:multiLevelType w:val="hybridMultilevel"/>
    <w:tmpl w:val="28746722"/>
    <w:lvl w:ilvl="0" w:tplc="7D6AC29A">
      <w:start w:val="1"/>
      <w:numFmt w:val="decimal"/>
      <w:lvlText w:val="%1."/>
      <w:lvlJc w:val="left"/>
      <w:pPr>
        <w:tabs>
          <w:tab w:val="num" w:pos="-1080"/>
        </w:tabs>
        <w:ind w:left="-1080" w:hanging="360"/>
      </w:pPr>
      <w:rPr>
        <w:rFonts w:cs="Times New Roman" w:hint="default"/>
        <w:b w:val="0"/>
      </w:rPr>
    </w:lvl>
    <w:lvl w:ilvl="1" w:tplc="F500A79E">
      <w:start w:val="1"/>
      <w:numFmt w:val="lowerLetter"/>
      <w:lvlText w:val="%2)"/>
      <w:lvlJc w:val="left"/>
      <w:pPr>
        <w:tabs>
          <w:tab w:val="num" w:pos="360"/>
        </w:tabs>
        <w:ind w:left="360" w:hanging="360"/>
      </w:pPr>
      <w:rPr>
        <w:rFonts w:hint="default"/>
        <w:b w:val="0"/>
      </w:rPr>
    </w:lvl>
    <w:lvl w:ilvl="2" w:tplc="0809001B">
      <w:start w:val="1"/>
      <w:numFmt w:val="lowerRoman"/>
      <w:lvlText w:val="%3."/>
      <w:lvlJc w:val="right"/>
      <w:pPr>
        <w:tabs>
          <w:tab w:val="num" w:pos="605"/>
        </w:tabs>
        <w:ind w:left="605" w:hanging="180"/>
      </w:pPr>
    </w:lvl>
    <w:lvl w:ilvl="3" w:tplc="0809000F">
      <w:start w:val="1"/>
      <w:numFmt w:val="decimal"/>
      <w:lvlText w:val="%4."/>
      <w:lvlJc w:val="left"/>
      <w:pPr>
        <w:tabs>
          <w:tab w:val="num" w:pos="2160"/>
        </w:tabs>
        <w:ind w:left="2160" w:hanging="360"/>
      </w:pPr>
    </w:lvl>
    <w:lvl w:ilvl="4" w:tplc="08090019">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8" w15:restartNumberingAfterBreak="0">
    <w:nsid w:val="57D960B4"/>
    <w:multiLevelType w:val="hybridMultilevel"/>
    <w:tmpl w:val="5FEC6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05007D"/>
    <w:multiLevelType w:val="hybridMultilevel"/>
    <w:tmpl w:val="2188BD80"/>
    <w:lvl w:ilvl="0" w:tplc="08090001">
      <w:start w:val="1"/>
      <w:numFmt w:val="bullet"/>
      <w:lvlText w:val=""/>
      <w:lvlJc w:val="left"/>
      <w:pPr>
        <w:tabs>
          <w:tab w:val="num" w:pos="180"/>
        </w:tabs>
        <w:ind w:left="180" w:hanging="360"/>
      </w:pPr>
      <w:rPr>
        <w:rFonts w:ascii="Symbol" w:hAnsi="Symbol" w:hint="default"/>
      </w:rPr>
    </w:lvl>
    <w:lvl w:ilvl="1" w:tplc="08090017">
      <w:start w:val="1"/>
      <w:numFmt w:val="lowerLetter"/>
      <w:lvlText w:val="%2)"/>
      <w:lvlJc w:val="left"/>
      <w:pPr>
        <w:tabs>
          <w:tab w:val="num" w:pos="900"/>
        </w:tabs>
        <w:ind w:left="900" w:hanging="360"/>
      </w:pPr>
      <w:rPr>
        <w:rFonts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65540A39"/>
    <w:multiLevelType w:val="hybridMultilevel"/>
    <w:tmpl w:val="4260A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AA673D"/>
    <w:multiLevelType w:val="hybridMultilevel"/>
    <w:tmpl w:val="7056130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111DF9"/>
    <w:multiLevelType w:val="hybridMultilevel"/>
    <w:tmpl w:val="340E7A10"/>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36E04F3"/>
    <w:multiLevelType w:val="hybridMultilevel"/>
    <w:tmpl w:val="D7D248A2"/>
    <w:lvl w:ilvl="0" w:tplc="23FCEEAC">
      <w:start w:val="9"/>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4" w15:restartNumberingAfterBreak="0">
    <w:nsid w:val="783F5062"/>
    <w:multiLevelType w:val="hybridMultilevel"/>
    <w:tmpl w:val="BBBCAFE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73836768">
    <w:abstractNumId w:val="21"/>
  </w:num>
  <w:num w:numId="2" w16cid:durableId="1961837436">
    <w:abstractNumId w:val="19"/>
  </w:num>
  <w:num w:numId="3" w16cid:durableId="945384939">
    <w:abstractNumId w:val="5"/>
  </w:num>
  <w:num w:numId="4" w16cid:durableId="1182358435">
    <w:abstractNumId w:val="24"/>
  </w:num>
  <w:num w:numId="5" w16cid:durableId="1967394547">
    <w:abstractNumId w:val="22"/>
  </w:num>
  <w:num w:numId="6" w16cid:durableId="1311135825">
    <w:abstractNumId w:val="2"/>
  </w:num>
  <w:num w:numId="7" w16cid:durableId="920988511">
    <w:abstractNumId w:val="4"/>
  </w:num>
  <w:num w:numId="8" w16cid:durableId="1050812078">
    <w:abstractNumId w:val="6"/>
  </w:num>
  <w:num w:numId="9" w16cid:durableId="428740670">
    <w:abstractNumId w:val="11"/>
  </w:num>
  <w:num w:numId="10" w16cid:durableId="1393431619">
    <w:abstractNumId w:val="14"/>
  </w:num>
  <w:num w:numId="11" w16cid:durableId="465511868">
    <w:abstractNumId w:val="1"/>
  </w:num>
  <w:num w:numId="12" w16cid:durableId="492987254">
    <w:abstractNumId w:val="8"/>
  </w:num>
  <w:num w:numId="13" w16cid:durableId="1510176193">
    <w:abstractNumId w:val="10"/>
  </w:num>
  <w:num w:numId="14" w16cid:durableId="865217275">
    <w:abstractNumId w:val="17"/>
  </w:num>
  <w:num w:numId="15" w16cid:durableId="329529245">
    <w:abstractNumId w:val="23"/>
  </w:num>
  <w:num w:numId="16" w16cid:durableId="944385123">
    <w:abstractNumId w:val="9"/>
  </w:num>
  <w:num w:numId="17" w16cid:durableId="1552110732">
    <w:abstractNumId w:val="0"/>
  </w:num>
  <w:num w:numId="18" w16cid:durableId="1752315113">
    <w:abstractNumId w:val="7"/>
  </w:num>
  <w:num w:numId="19" w16cid:durableId="274141307">
    <w:abstractNumId w:val="3"/>
  </w:num>
  <w:num w:numId="20" w16cid:durableId="1460799240">
    <w:abstractNumId w:val="18"/>
  </w:num>
  <w:num w:numId="21" w16cid:durableId="1532500809">
    <w:abstractNumId w:val="20"/>
  </w:num>
  <w:num w:numId="22" w16cid:durableId="1924680063">
    <w:abstractNumId w:val="15"/>
  </w:num>
  <w:num w:numId="23" w16cid:durableId="116609266">
    <w:abstractNumId w:val="16"/>
  </w:num>
  <w:num w:numId="24" w16cid:durableId="1495031140">
    <w:abstractNumId w:val="12"/>
  </w:num>
  <w:num w:numId="25" w16cid:durableId="204894413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D0"/>
    <w:rsid w:val="000037BB"/>
    <w:rsid w:val="00010ED6"/>
    <w:rsid w:val="0001153C"/>
    <w:rsid w:val="00011CA6"/>
    <w:rsid w:val="00015DE2"/>
    <w:rsid w:val="00015F0A"/>
    <w:rsid w:val="00016A4E"/>
    <w:rsid w:val="00027C3C"/>
    <w:rsid w:val="000316A5"/>
    <w:rsid w:val="00031FF9"/>
    <w:rsid w:val="0003213D"/>
    <w:rsid w:val="00034074"/>
    <w:rsid w:val="00035424"/>
    <w:rsid w:val="00041716"/>
    <w:rsid w:val="00053246"/>
    <w:rsid w:val="00053F7E"/>
    <w:rsid w:val="000609BE"/>
    <w:rsid w:val="000637F5"/>
    <w:rsid w:val="00064B4A"/>
    <w:rsid w:val="0006747C"/>
    <w:rsid w:val="00070C40"/>
    <w:rsid w:val="000768F4"/>
    <w:rsid w:val="0008456E"/>
    <w:rsid w:val="000900E3"/>
    <w:rsid w:val="0009537D"/>
    <w:rsid w:val="000A0335"/>
    <w:rsid w:val="000A0655"/>
    <w:rsid w:val="000A1743"/>
    <w:rsid w:val="000A2C56"/>
    <w:rsid w:val="000A508D"/>
    <w:rsid w:val="000A68D7"/>
    <w:rsid w:val="000B2255"/>
    <w:rsid w:val="000B7CC9"/>
    <w:rsid w:val="000C2558"/>
    <w:rsid w:val="000C312A"/>
    <w:rsid w:val="000C3854"/>
    <w:rsid w:val="000C7723"/>
    <w:rsid w:val="000D0CC0"/>
    <w:rsid w:val="000D4D4C"/>
    <w:rsid w:val="000D734C"/>
    <w:rsid w:val="000E04AD"/>
    <w:rsid w:val="000E753C"/>
    <w:rsid w:val="000F0FA6"/>
    <w:rsid w:val="000F1396"/>
    <w:rsid w:val="000F64B0"/>
    <w:rsid w:val="000F7138"/>
    <w:rsid w:val="000F73E8"/>
    <w:rsid w:val="0010113D"/>
    <w:rsid w:val="001031BB"/>
    <w:rsid w:val="00103998"/>
    <w:rsid w:val="00104787"/>
    <w:rsid w:val="0010518F"/>
    <w:rsid w:val="0010569C"/>
    <w:rsid w:val="00111AB9"/>
    <w:rsid w:val="00120AA5"/>
    <w:rsid w:val="001212C7"/>
    <w:rsid w:val="00122A20"/>
    <w:rsid w:val="00123644"/>
    <w:rsid w:val="0012368E"/>
    <w:rsid w:val="00125FEA"/>
    <w:rsid w:val="00133E31"/>
    <w:rsid w:val="0013567A"/>
    <w:rsid w:val="001435B6"/>
    <w:rsid w:val="00150030"/>
    <w:rsid w:val="00152F76"/>
    <w:rsid w:val="00154E83"/>
    <w:rsid w:val="00160D7D"/>
    <w:rsid w:val="001637E4"/>
    <w:rsid w:val="0016776F"/>
    <w:rsid w:val="00171C4D"/>
    <w:rsid w:val="00176E43"/>
    <w:rsid w:val="00183AF9"/>
    <w:rsid w:val="00184213"/>
    <w:rsid w:val="0018507F"/>
    <w:rsid w:val="00186B8F"/>
    <w:rsid w:val="00193201"/>
    <w:rsid w:val="001967CF"/>
    <w:rsid w:val="001A076A"/>
    <w:rsid w:val="001A376D"/>
    <w:rsid w:val="001A6152"/>
    <w:rsid w:val="001A7CE7"/>
    <w:rsid w:val="001B0376"/>
    <w:rsid w:val="001B2B8F"/>
    <w:rsid w:val="001B422D"/>
    <w:rsid w:val="001B5513"/>
    <w:rsid w:val="001B58A6"/>
    <w:rsid w:val="001C1C49"/>
    <w:rsid w:val="001C1F24"/>
    <w:rsid w:val="001C2ADE"/>
    <w:rsid w:val="001C4BAB"/>
    <w:rsid w:val="001C6649"/>
    <w:rsid w:val="001C7EA6"/>
    <w:rsid w:val="001D259F"/>
    <w:rsid w:val="001D3FA7"/>
    <w:rsid w:val="001D6BE0"/>
    <w:rsid w:val="001E0725"/>
    <w:rsid w:val="001E1D54"/>
    <w:rsid w:val="001E269A"/>
    <w:rsid w:val="001E75EB"/>
    <w:rsid w:val="001F11BF"/>
    <w:rsid w:val="001F3308"/>
    <w:rsid w:val="001F39A9"/>
    <w:rsid w:val="001F3BFD"/>
    <w:rsid w:val="001F6525"/>
    <w:rsid w:val="002053C5"/>
    <w:rsid w:val="0020585F"/>
    <w:rsid w:val="00207F6E"/>
    <w:rsid w:val="00211AA0"/>
    <w:rsid w:val="00211B2C"/>
    <w:rsid w:val="00214CD7"/>
    <w:rsid w:val="00221A0B"/>
    <w:rsid w:val="0022405B"/>
    <w:rsid w:val="00224726"/>
    <w:rsid w:val="002267E2"/>
    <w:rsid w:val="00226D73"/>
    <w:rsid w:val="002279F5"/>
    <w:rsid w:val="00227F36"/>
    <w:rsid w:val="00230AAD"/>
    <w:rsid w:val="0023315B"/>
    <w:rsid w:val="00233FD7"/>
    <w:rsid w:val="002409C1"/>
    <w:rsid w:val="002412CB"/>
    <w:rsid w:val="00242EFB"/>
    <w:rsid w:val="00246452"/>
    <w:rsid w:val="00247A6E"/>
    <w:rsid w:val="00250786"/>
    <w:rsid w:val="00251401"/>
    <w:rsid w:val="0025628A"/>
    <w:rsid w:val="0026023C"/>
    <w:rsid w:val="00262C5E"/>
    <w:rsid w:val="0027359F"/>
    <w:rsid w:val="00276B08"/>
    <w:rsid w:val="00281E79"/>
    <w:rsid w:val="00284214"/>
    <w:rsid w:val="002853F4"/>
    <w:rsid w:val="00286113"/>
    <w:rsid w:val="0028664E"/>
    <w:rsid w:val="00294BD4"/>
    <w:rsid w:val="002A3F88"/>
    <w:rsid w:val="002C4C65"/>
    <w:rsid w:val="002D1A0D"/>
    <w:rsid w:val="002E0840"/>
    <w:rsid w:val="002E1885"/>
    <w:rsid w:val="002E1E1C"/>
    <w:rsid w:val="002E1E47"/>
    <w:rsid w:val="002E3BDF"/>
    <w:rsid w:val="002E45EA"/>
    <w:rsid w:val="002E4633"/>
    <w:rsid w:val="002E4CD1"/>
    <w:rsid w:val="002E6133"/>
    <w:rsid w:val="002F6431"/>
    <w:rsid w:val="002F67BA"/>
    <w:rsid w:val="00303E58"/>
    <w:rsid w:val="00305E62"/>
    <w:rsid w:val="003102AD"/>
    <w:rsid w:val="00311BC3"/>
    <w:rsid w:val="003168DC"/>
    <w:rsid w:val="003170F2"/>
    <w:rsid w:val="0031737B"/>
    <w:rsid w:val="003240CD"/>
    <w:rsid w:val="003246E8"/>
    <w:rsid w:val="0033030C"/>
    <w:rsid w:val="00331A07"/>
    <w:rsid w:val="00331D3F"/>
    <w:rsid w:val="00333627"/>
    <w:rsid w:val="003402E9"/>
    <w:rsid w:val="003409CC"/>
    <w:rsid w:val="00344916"/>
    <w:rsid w:val="00345A04"/>
    <w:rsid w:val="0035181E"/>
    <w:rsid w:val="00352A41"/>
    <w:rsid w:val="00352D37"/>
    <w:rsid w:val="003532CE"/>
    <w:rsid w:val="003625F7"/>
    <w:rsid w:val="00367BC8"/>
    <w:rsid w:val="003714AD"/>
    <w:rsid w:val="003733CB"/>
    <w:rsid w:val="00375EC2"/>
    <w:rsid w:val="00377D63"/>
    <w:rsid w:val="0038167A"/>
    <w:rsid w:val="00382509"/>
    <w:rsid w:val="00385923"/>
    <w:rsid w:val="00387FCC"/>
    <w:rsid w:val="00391B37"/>
    <w:rsid w:val="00392EDC"/>
    <w:rsid w:val="00393F6C"/>
    <w:rsid w:val="003A363E"/>
    <w:rsid w:val="003A7B71"/>
    <w:rsid w:val="003A7B97"/>
    <w:rsid w:val="003C0021"/>
    <w:rsid w:val="003C0618"/>
    <w:rsid w:val="003C0871"/>
    <w:rsid w:val="003C139C"/>
    <w:rsid w:val="003C3576"/>
    <w:rsid w:val="003C3E89"/>
    <w:rsid w:val="003D0F8F"/>
    <w:rsid w:val="003E0D6F"/>
    <w:rsid w:val="003E12C0"/>
    <w:rsid w:val="003E438C"/>
    <w:rsid w:val="003F5701"/>
    <w:rsid w:val="003F68EC"/>
    <w:rsid w:val="003F6CA1"/>
    <w:rsid w:val="00400677"/>
    <w:rsid w:val="00400D01"/>
    <w:rsid w:val="0040191A"/>
    <w:rsid w:val="004039FC"/>
    <w:rsid w:val="00403CB0"/>
    <w:rsid w:val="00404C52"/>
    <w:rsid w:val="004068D5"/>
    <w:rsid w:val="00406C3F"/>
    <w:rsid w:val="00406D83"/>
    <w:rsid w:val="004103B5"/>
    <w:rsid w:val="00415C50"/>
    <w:rsid w:val="004178D1"/>
    <w:rsid w:val="004241E1"/>
    <w:rsid w:val="00425B75"/>
    <w:rsid w:val="00427469"/>
    <w:rsid w:val="00431D57"/>
    <w:rsid w:val="00443B89"/>
    <w:rsid w:val="00444F91"/>
    <w:rsid w:val="00461639"/>
    <w:rsid w:val="00461A67"/>
    <w:rsid w:val="00467A3E"/>
    <w:rsid w:val="0047038D"/>
    <w:rsid w:val="00476941"/>
    <w:rsid w:val="004773EF"/>
    <w:rsid w:val="004777B8"/>
    <w:rsid w:val="00480AB2"/>
    <w:rsid w:val="00480B93"/>
    <w:rsid w:val="004813D0"/>
    <w:rsid w:val="00483CD8"/>
    <w:rsid w:val="004905C4"/>
    <w:rsid w:val="00492E92"/>
    <w:rsid w:val="0049423B"/>
    <w:rsid w:val="0049463B"/>
    <w:rsid w:val="004A0AC9"/>
    <w:rsid w:val="004A3D90"/>
    <w:rsid w:val="004A6D45"/>
    <w:rsid w:val="004A7DB6"/>
    <w:rsid w:val="004B04EE"/>
    <w:rsid w:val="004B0FBF"/>
    <w:rsid w:val="004B4D81"/>
    <w:rsid w:val="004B5AC7"/>
    <w:rsid w:val="004B6CF4"/>
    <w:rsid w:val="004C5228"/>
    <w:rsid w:val="004C7A79"/>
    <w:rsid w:val="004D0A59"/>
    <w:rsid w:val="004D19A3"/>
    <w:rsid w:val="004D1AC2"/>
    <w:rsid w:val="004D28EC"/>
    <w:rsid w:val="004D3383"/>
    <w:rsid w:val="004E0847"/>
    <w:rsid w:val="004E0A7B"/>
    <w:rsid w:val="004E2AF9"/>
    <w:rsid w:val="004E35AE"/>
    <w:rsid w:val="004E671E"/>
    <w:rsid w:val="004F0D4B"/>
    <w:rsid w:val="004F5540"/>
    <w:rsid w:val="0051574E"/>
    <w:rsid w:val="00517400"/>
    <w:rsid w:val="00520233"/>
    <w:rsid w:val="00522B57"/>
    <w:rsid w:val="00524DB0"/>
    <w:rsid w:val="00525554"/>
    <w:rsid w:val="00535296"/>
    <w:rsid w:val="0053592B"/>
    <w:rsid w:val="0054142C"/>
    <w:rsid w:val="0054145B"/>
    <w:rsid w:val="00543F8B"/>
    <w:rsid w:val="005442C2"/>
    <w:rsid w:val="005467D3"/>
    <w:rsid w:val="00547340"/>
    <w:rsid w:val="005519A8"/>
    <w:rsid w:val="005542C0"/>
    <w:rsid w:val="005551AB"/>
    <w:rsid w:val="00556B3C"/>
    <w:rsid w:val="00561B7B"/>
    <w:rsid w:val="005636E3"/>
    <w:rsid w:val="00563F7C"/>
    <w:rsid w:val="00566321"/>
    <w:rsid w:val="00566A49"/>
    <w:rsid w:val="00574782"/>
    <w:rsid w:val="00576921"/>
    <w:rsid w:val="00577A6C"/>
    <w:rsid w:val="00584662"/>
    <w:rsid w:val="00585001"/>
    <w:rsid w:val="005870AC"/>
    <w:rsid w:val="005873E8"/>
    <w:rsid w:val="00591367"/>
    <w:rsid w:val="00595EC5"/>
    <w:rsid w:val="005977AF"/>
    <w:rsid w:val="005A1690"/>
    <w:rsid w:val="005A1D6F"/>
    <w:rsid w:val="005A52A5"/>
    <w:rsid w:val="005A5A81"/>
    <w:rsid w:val="005A6F10"/>
    <w:rsid w:val="005B675A"/>
    <w:rsid w:val="005B6F1E"/>
    <w:rsid w:val="005B7420"/>
    <w:rsid w:val="005C0852"/>
    <w:rsid w:val="005C5AF6"/>
    <w:rsid w:val="005C65C8"/>
    <w:rsid w:val="005D282A"/>
    <w:rsid w:val="005D2B06"/>
    <w:rsid w:val="005D58CF"/>
    <w:rsid w:val="005F0EF4"/>
    <w:rsid w:val="005F1355"/>
    <w:rsid w:val="005F4B14"/>
    <w:rsid w:val="00601C8C"/>
    <w:rsid w:val="00614128"/>
    <w:rsid w:val="00614390"/>
    <w:rsid w:val="00617BCE"/>
    <w:rsid w:val="00620647"/>
    <w:rsid w:val="00621FE1"/>
    <w:rsid w:val="00624F0A"/>
    <w:rsid w:val="00626E61"/>
    <w:rsid w:val="00630E88"/>
    <w:rsid w:val="00637280"/>
    <w:rsid w:val="00642878"/>
    <w:rsid w:val="00642F7A"/>
    <w:rsid w:val="00643AE6"/>
    <w:rsid w:val="00643BA3"/>
    <w:rsid w:val="00644C65"/>
    <w:rsid w:val="00646933"/>
    <w:rsid w:val="00647849"/>
    <w:rsid w:val="006567F5"/>
    <w:rsid w:val="0066019E"/>
    <w:rsid w:val="00660634"/>
    <w:rsid w:val="00660743"/>
    <w:rsid w:val="00661093"/>
    <w:rsid w:val="00664BD1"/>
    <w:rsid w:val="00665BE8"/>
    <w:rsid w:val="00665F7B"/>
    <w:rsid w:val="006674B9"/>
    <w:rsid w:val="00667719"/>
    <w:rsid w:val="00671E8F"/>
    <w:rsid w:val="0067312E"/>
    <w:rsid w:val="006743A6"/>
    <w:rsid w:val="00681548"/>
    <w:rsid w:val="00682262"/>
    <w:rsid w:val="00683825"/>
    <w:rsid w:val="006866DE"/>
    <w:rsid w:val="00693138"/>
    <w:rsid w:val="00693BA2"/>
    <w:rsid w:val="00694E1E"/>
    <w:rsid w:val="00695711"/>
    <w:rsid w:val="00697438"/>
    <w:rsid w:val="006A086D"/>
    <w:rsid w:val="006A3C53"/>
    <w:rsid w:val="006A3E68"/>
    <w:rsid w:val="006A4B9F"/>
    <w:rsid w:val="006A5455"/>
    <w:rsid w:val="006B030E"/>
    <w:rsid w:val="006B3F42"/>
    <w:rsid w:val="006B59E4"/>
    <w:rsid w:val="006B7DBF"/>
    <w:rsid w:val="006B7EB1"/>
    <w:rsid w:val="006C3407"/>
    <w:rsid w:val="006C54C7"/>
    <w:rsid w:val="006C5F6D"/>
    <w:rsid w:val="006C6C95"/>
    <w:rsid w:val="006D01C2"/>
    <w:rsid w:val="006E08A3"/>
    <w:rsid w:val="006E08DF"/>
    <w:rsid w:val="006E0961"/>
    <w:rsid w:val="006E43A3"/>
    <w:rsid w:val="006E4D5B"/>
    <w:rsid w:val="006F095A"/>
    <w:rsid w:val="006F1A2C"/>
    <w:rsid w:val="006F1F63"/>
    <w:rsid w:val="006F31D0"/>
    <w:rsid w:val="006F50AF"/>
    <w:rsid w:val="006F7CC6"/>
    <w:rsid w:val="00700F40"/>
    <w:rsid w:val="007026DB"/>
    <w:rsid w:val="007031FA"/>
    <w:rsid w:val="00703A4A"/>
    <w:rsid w:val="00703C27"/>
    <w:rsid w:val="007068DA"/>
    <w:rsid w:val="00710920"/>
    <w:rsid w:val="0071438B"/>
    <w:rsid w:val="00714716"/>
    <w:rsid w:val="00714B88"/>
    <w:rsid w:val="00716760"/>
    <w:rsid w:val="0072129F"/>
    <w:rsid w:val="00721F01"/>
    <w:rsid w:val="00722DEE"/>
    <w:rsid w:val="0072573A"/>
    <w:rsid w:val="00727766"/>
    <w:rsid w:val="007323A7"/>
    <w:rsid w:val="00733E02"/>
    <w:rsid w:val="00735EB4"/>
    <w:rsid w:val="00737C54"/>
    <w:rsid w:val="0074525A"/>
    <w:rsid w:val="0075161C"/>
    <w:rsid w:val="007517D1"/>
    <w:rsid w:val="007561CA"/>
    <w:rsid w:val="00757229"/>
    <w:rsid w:val="00767343"/>
    <w:rsid w:val="0077449D"/>
    <w:rsid w:val="00775884"/>
    <w:rsid w:val="00775A2E"/>
    <w:rsid w:val="00776A84"/>
    <w:rsid w:val="00782754"/>
    <w:rsid w:val="00782950"/>
    <w:rsid w:val="0078711C"/>
    <w:rsid w:val="00787D5F"/>
    <w:rsid w:val="0079187B"/>
    <w:rsid w:val="007B0F4F"/>
    <w:rsid w:val="007B294E"/>
    <w:rsid w:val="007B3E62"/>
    <w:rsid w:val="007D1802"/>
    <w:rsid w:val="007D3C37"/>
    <w:rsid w:val="007D73BE"/>
    <w:rsid w:val="007E0309"/>
    <w:rsid w:val="007E08AF"/>
    <w:rsid w:val="007E2E40"/>
    <w:rsid w:val="007E31CC"/>
    <w:rsid w:val="007F2200"/>
    <w:rsid w:val="007F3788"/>
    <w:rsid w:val="007F5BFE"/>
    <w:rsid w:val="007F63E2"/>
    <w:rsid w:val="007F666A"/>
    <w:rsid w:val="007F7C6C"/>
    <w:rsid w:val="00802A62"/>
    <w:rsid w:val="00803120"/>
    <w:rsid w:val="0080527A"/>
    <w:rsid w:val="008054B2"/>
    <w:rsid w:val="00806D45"/>
    <w:rsid w:val="00811077"/>
    <w:rsid w:val="00813785"/>
    <w:rsid w:val="0082141F"/>
    <w:rsid w:val="008247A7"/>
    <w:rsid w:val="00824DA1"/>
    <w:rsid w:val="008311E2"/>
    <w:rsid w:val="00831B5D"/>
    <w:rsid w:val="00834CBC"/>
    <w:rsid w:val="0083678D"/>
    <w:rsid w:val="0083730A"/>
    <w:rsid w:val="00841C6E"/>
    <w:rsid w:val="00843067"/>
    <w:rsid w:val="0084446D"/>
    <w:rsid w:val="00844B89"/>
    <w:rsid w:val="00851112"/>
    <w:rsid w:val="00852089"/>
    <w:rsid w:val="00852DF1"/>
    <w:rsid w:val="008548D9"/>
    <w:rsid w:val="0085509C"/>
    <w:rsid w:val="00856F82"/>
    <w:rsid w:val="00857531"/>
    <w:rsid w:val="00857643"/>
    <w:rsid w:val="00857EE7"/>
    <w:rsid w:val="00860AFF"/>
    <w:rsid w:val="00861D0A"/>
    <w:rsid w:val="008657E4"/>
    <w:rsid w:val="00870698"/>
    <w:rsid w:val="00870BCD"/>
    <w:rsid w:val="00872741"/>
    <w:rsid w:val="008755D5"/>
    <w:rsid w:val="00881A49"/>
    <w:rsid w:val="00886104"/>
    <w:rsid w:val="00887AED"/>
    <w:rsid w:val="008911C4"/>
    <w:rsid w:val="008914AD"/>
    <w:rsid w:val="008914E3"/>
    <w:rsid w:val="0089359F"/>
    <w:rsid w:val="008944C1"/>
    <w:rsid w:val="00894B19"/>
    <w:rsid w:val="008957B6"/>
    <w:rsid w:val="00897D12"/>
    <w:rsid w:val="008A01B3"/>
    <w:rsid w:val="008A0E17"/>
    <w:rsid w:val="008A37A8"/>
    <w:rsid w:val="008A38F0"/>
    <w:rsid w:val="008A6C99"/>
    <w:rsid w:val="008B0A92"/>
    <w:rsid w:val="008B519C"/>
    <w:rsid w:val="008B6B5C"/>
    <w:rsid w:val="008B75E5"/>
    <w:rsid w:val="008B79C7"/>
    <w:rsid w:val="008C58D5"/>
    <w:rsid w:val="008C70AB"/>
    <w:rsid w:val="008D0397"/>
    <w:rsid w:val="008D1559"/>
    <w:rsid w:val="008D65A9"/>
    <w:rsid w:val="008E0041"/>
    <w:rsid w:val="008E27B0"/>
    <w:rsid w:val="008E4C68"/>
    <w:rsid w:val="008F0684"/>
    <w:rsid w:val="008F0F84"/>
    <w:rsid w:val="008F522C"/>
    <w:rsid w:val="008F58A8"/>
    <w:rsid w:val="009001D6"/>
    <w:rsid w:val="0090799C"/>
    <w:rsid w:val="00907F09"/>
    <w:rsid w:val="00910FAA"/>
    <w:rsid w:val="00910FB0"/>
    <w:rsid w:val="00911C75"/>
    <w:rsid w:val="00912A54"/>
    <w:rsid w:val="00915215"/>
    <w:rsid w:val="00917762"/>
    <w:rsid w:val="0092032B"/>
    <w:rsid w:val="00920519"/>
    <w:rsid w:val="00920D4B"/>
    <w:rsid w:val="00922D83"/>
    <w:rsid w:val="00925D4B"/>
    <w:rsid w:val="00926F63"/>
    <w:rsid w:val="00934842"/>
    <w:rsid w:val="00934982"/>
    <w:rsid w:val="00934CE3"/>
    <w:rsid w:val="00934F1F"/>
    <w:rsid w:val="00937AE4"/>
    <w:rsid w:val="009419DF"/>
    <w:rsid w:val="00943C5C"/>
    <w:rsid w:val="00944250"/>
    <w:rsid w:val="00945A9B"/>
    <w:rsid w:val="0095565C"/>
    <w:rsid w:val="00955B24"/>
    <w:rsid w:val="00956AF5"/>
    <w:rsid w:val="00960696"/>
    <w:rsid w:val="00961CF0"/>
    <w:rsid w:val="00962D13"/>
    <w:rsid w:val="00964B1B"/>
    <w:rsid w:val="00970B30"/>
    <w:rsid w:val="009733C0"/>
    <w:rsid w:val="0097584B"/>
    <w:rsid w:val="00977CF5"/>
    <w:rsid w:val="00977EEE"/>
    <w:rsid w:val="0098108B"/>
    <w:rsid w:val="00984D83"/>
    <w:rsid w:val="00986E1A"/>
    <w:rsid w:val="009904F4"/>
    <w:rsid w:val="00990747"/>
    <w:rsid w:val="00992CAE"/>
    <w:rsid w:val="009964FA"/>
    <w:rsid w:val="00997BE9"/>
    <w:rsid w:val="009A2083"/>
    <w:rsid w:val="009A4309"/>
    <w:rsid w:val="009A54D6"/>
    <w:rsid w:val="009A716E"/>
    <w:rsid w:val="009B3E64"/>
    <w:rsid w:val="009B4F10"/>
    <w:rsid w:val="009C2844"/>
    <w:rsid w:val="009C779D"/>
    <w:rsid w:val="009D06FB"/>
    <w:rsid w:val="009D1F06"/>
    <w:rsid w:val="009D2108"/>
    <w:rsid w:val="009D6892"/>
    <w:rsid w:val="009E1ACE"/>
    <w:rsid w:val="009E25C3"/>
    <w:rsid w:val="009E6D7D"/>
    <w:rsid w:val="009F0505"/>
    <w:rsid w:val="009F0AD1"/>
    <w:rsid w:val="009F3F8B"/>
    <w:rsid w:val="009F577A"/>
    <w:rsid w:val="009F5CE6"/>
    <w:rsid w:val="009F5D1F"/>
    <w:rsid w:val="009F724A"/>
    <w:rsid w:val="009F7E4E"/>
    <w:rsid w:val="00A00477"/>
    <w:rsid w:val="00A021BB"/>
    <w:rsid w:val="00A05673"/>
    <w:rsid w:val="00A10A6C"/>
    <w:rsid w:val="00A12833"/>
    <w:rsid w:val="00A12B1E"/>
    <w:rsid w:val="00A12CFB"/>
    <w:rsid w:val="00A13124"/>
    <w:rsid w:val="00A146EC"/>
    <w:rsid w:val="00A14D0E"/>
    <w:rsid w:val="00A16366"/>
    <w:rsid w:val="00A16BD0"/>
    <w:rsid w:val="00A1716E"/>
    <w:rsid w:val="00A17CF0"/>
    <w:rsid w:val="00A209C1"/>
    <w:rsid w:val="00A2414D"/>
    <w:rsid w:val="00A25751"/>
    <w:rsid w:val="00A26F73"/>
    <w:rsid w:val="00A331A8"/>
    <w:rsid w:val="00A33B56"/>
    <w:rsid w:val="00A53063"/>
    <w:rsid w:val="00A54DD3"/>
    <w:rsid w:val="00A60E88"/>
    <w:rsid w:val="00A64943"/>
    <w:rsid w:val="00A65217"/>
    <w:rsid w:val="00A6595C"/>
    <w:rsid w:val="00A75422"/>
    <w:rsid w:val="00A80E88"/>
    <w:rsid w:val="00A821E1"/>
    <w:rsid w:val="00A84CDF"/>
    <w:rsid w:val="00A86F7A"/>
    <w:rsid w:val="00A91A92"/>
    <w:rsid w:val="00A92CC4"/>
    <w:rsid w:val="00A93529"/>
    <w:rsid w:val="00A9666F"/>
    <w:rsid w:val="00A96D64"/>
    <w:rsid w:val="00A975D6"/>
    <w:rsid w:val="00AA0E47"/>
    <w:rsid w:val="00AA4414"/>
    <w:rsid w:val="00AA4D7D"/>
    <w:rsid w:val="00AA76EB"/>
    <w:rsid w:val="00AA7FF1"/>
    <w:rsid w:val="00AB31CC"/>
    <w:rsid w:val="00AC1A2B"/>
    <w:rsid w:val="00AC2531"/>
    <w:rsid w:val="00AC3984"/>
    <w:rsid w:val="00AC4EDA"/>
    <w:rsid w:val="00AC572B"/>
    <w:rsid w:val="00AD30E3"/>
    <w:rsid w:val="00AD4A44"/>
    <w:rsid w:val="00AE4092"/>
    <w:rsid w:val="00AF3977"/>
    <w:rsid w:val="00AF6A93"/>
    <w:rsid w:val="00AF75E1"/>
    <w:rsid w:val="00B00C51"/>
    <w:rsid w:val="00B04A6C"/>
    <w:rsid w:val="00B04DDA"/>
    <w:rsid w:val="00B05586"/>
    <w:rsid w:val="00B06FFB"/>
    <w:rsid w:val="00B110EB"/>
    <w:rsid w:val="00B13FE8"/>
    <w:rsid w:val="00B14F4C"/>
    <w:rsid w:val="00B17845"/>
    <w:rsid w:val="00B20795"/>
    <w:rsid w:val="00B23F73"/>
    <w:rsid w:val="00B32C1A"/>
    <w:rsid w:val="00B32F2E"/>
    <w:rsid w:val="00B4260E"/>
    <w:rsid w:val="00B43912"/>
    <w:rsid w:val="00B44AB5"/>
    <w:rsid w:val="00B51EB3"/>
    <w:rsid w:val="00B538CA"/>
    <w:rsid w:val="00B546FC"/>
    <w:rsid w:val="00B54F1E"/>
    <w:rsid w:val="00B56622"/>
    <w:rsid w:val="00B61A06"/>
    <w:rsid w:val="00B62D6D"/>
    <w:rsid w:val="00B639A2"/>
    <w:rsid w:val="00B65A4C"/>
    <w:rsid w:val="00B65F96"/>
    <w:rsid w:val="00B66612"/>
    <w:rsid w:val="00B70E61"/>
    <w:rsid w:val="00B72702"/>
    <w:rsid w:val="00B72DD0"/>
    <w:rsid w:val="00B7359F"/>
    <w:rsid w:val="00B75C41"/>
    <w:rsid w:val="00B80916"/>
    <w:rsid w:val="00B83576"/>
    <w:rsid w:val="00B84755"/>
    <w:rsid w:val="00B85272"/>
    <w:rsid w:val="00BA3635"/>
    <w:rsid w:val="00BB1248"/>
    <w:rsid w:val="00BB26EC"/>
    <w:rsid w:val="00BC1B09"/>
    <w:rsid w:val="00BC33A3"/>
    <w:rsid w:val="00BC3EC8"/>
    <w:rsid w:val="00BC5DFE"/>
    <w:rsid w:val="00BD0BF0"/>
    <w:rsid w:val="00BD0E22"/>
    <w:rsid w:val="00BD36AC"/>
    <w:rsid w:val="00BD4DF9"/>
    <w:rsid w:val="00BD6583"/>
    <w:rsid w:val="00BE192E"/>
    <w:rsid w:val="00BE1D66"/>
    <w:rsid w:val="00BE595F"/>
    <w:rsid w:val="00BE60CE"/>
    <w:rsid w:val="00BF165A"/>
    <w:rsid w:val="00BF2B19"/>
    <w:rsid w:val="00BF6563"/>
    <w:rsid w:val="00BF761C"/>
    <w:rsid w:val="00C00EE8"/>
    <w:rsid w:val="00C04849"/>
    <w:rsid w:val="00C0530B"/>
    <w:rsid w:val="00C06C84"/>
    <w:rsid w:val="00C079EF"/>
    <w:rsid w:val="00C137EC"/>
    <w:rsid w:val="00C14140"/>
    <w:rsid w:val="00C149D1"/>
    <w:rsid w:val="00C15978"/>
    <w:rsid w:val="00C17D21"/>
    <w:rsid w:val="00C20824"/>
    <w:rsid w:val="00C2086F"/>
    <w:rsid w:val="00C219F3"/>
    <w:rsid w:val="00C22F50"/>
    <w:rsid w:val="00C26302"/>
    <w:rsid w:val="00C263D3"/>
    <w:rsid w:val="00C33FB6"/>
    <w:rsid w:val="00C34282"/>
    <w:rsid w:val="00C35B30"/>
    <w:rsid w:val="00C366CA"/>
    <w:rsid w:val="00C41461"/>
    <w:rsid w:val="00C42180"/>
    <w:rsid w:val="00C4743C"/>
    <w:rsid w:val="00C47FC6"/>
    <w:rsid w:val="00C571FF"/>
    <w:rsid w:val="00C61459"/>
    <w:rsid w:val="00C66E21"/>
    <w:rsid w:val="00C67A62"/>
    <w:rsid w:val="00C76BC9"/>
    <w:rsid w:val="00C82300"/>
    <w:rsid w:val="00C85C05"/>
    <w:rsid w:val="00C90D93"/>
    <w:rsid w:val="00C91F9B"/>
    <w:rsid w:val="00C95B49"/>
    <w:rsid w:val="00CA109D"/>
    <w:rsid w:val="00CA2897"/>
    <w:rsid w:val="00CA5C3F"/>
    <w:rsid w:val="00CB0E47"/>
    <w:rsid w:val="00CB5214"/>
    <w:rsid w:val="00CD194B"/>
    <w:rsid w:val="00CD582C"/>
    <w:rsid w:val="00CD74A8"/>
    <w:rsid w:val="00CE1DFD"/>
    <w:rsid w:val="00CE4268"/>
    <w:rsid w:val="00CE443D"/>
    <w:rsid w:val="00CE63C5"/>
    <w:rsid w:val="00D00406"/>
    <w:rsid w:val="00D029EF"/>
    <w:rsid w:val="00D0561D"/>
    <w:rsid w:val="00D05719"/>
    <w:rsid w:val="00D06920"/>
    <w:rsid w:val="00D113DA"/>
    <w:rsid w:val="00D129A6"/>
    <w:rsid w:val="00D16CEC"/>
    <w:rsid w:val="00D235BF"/>
    <w:rsid w:val="00D257D9"/>
    <w:rsid w:val="00D26B25"/>
    <w:rsid w:val="00D31918"/>
    <w:rsid w:val="00D3448D"/>
    <w:rsid w:val="00D3603F"/>
    <w:rsid w:val="00D5218B"/>
    <w:rsid w:val="00D54AEF"/>
    <w:rsid w:val="00D5611C"/>
    <w:rsid w:val="00D5680F"/>
    <w:rsid w:val="00D56DAE"/>
    <w:rsid w:val="00D5774E"/>
    <w:rsid w:val="00D62147"/>
    <w:rsid w:val="00D63A96"/>
    <w:rsid w:val="00D67E9D"/>
    <w:rsid w:val="00D73A70"/>
    <w:rsid w:val="00D73ED0"/>
    <w:rsid w:val="00D762F4"/>
    <w:rsid w:val="00D77C64"/>
    <w:rsid w:val="00D83724"/>
    <w:rsid w:val="00D9038E"/>
    <w:rsid w:val="00D9163D"/>
    <w:rsid w:val="00D93567"/>
    <w:rsid w:val="00D953D3"/>
    <w:rsid w:val="00DA21FC"/>
    <w:rsid w:val="00DA2C04"/>
    <w:rsid w:val="00DA615E"/>
    <w:rsid w:val="00DB23A6"/>
    <w:rsid w:val="00DB3898"/>
    <w:rsid w:val="00DB47C5"/>
    <w:rsid w:val="00DD2934"/>
    <w:rsid w:val="00DE25D1"/>
    <w:rsid w:val="00DE2D5E"/>
    <w:rsid w:val="00DE7796"/>
    <w:rsid w:val="00DE7FF5"/>
    <w:rsid w:val="00DF1752"/>
    <w:rsid w:val="00DF17CD"/>
    <w:rsid w:val="00DF2DEF"/>
    <w:rsid w:val="00E04D80"/>
    <w:rsid w:val="00E05259"/>
    <w:rsid w:val="00E1372B"/>
    <w:rsid w:val="00E14B16"/>
    <w:rsid w:val="00E17E23"/>
    <w:rsid w:val="00E17E2F"/>
    <w:rsid w:val="00E24594"/>
    <w:rsid w:val="00E24B73"/>
    <w:rsid w:val="00E24EA6"/>
    <w:rsid w:val="00E301CA"/>
    <w:rsid w:val="00E31F56"/>
    <w:rsid w:val="00E3376B"/>
    <w:rsid w:val="00E373A0"/>
    <w:rsid w:val="00E3778B"/>
    <w:rsid w:val="00E37C77"/>
    <w:rsid w:val="00E424BB"/>
    <w:rsid w:val="00E46080"/>
    <w:rsid w:val="00E50DBD"/>
    <w:rsid w:val="00E51D03"/>
    <w:rsid w:val="00E52A97"/>
    <w:rsid w:val="00E552E3"/>
    <w:rsid w:val="00E5634A"/>
    <w:rsid w:val="00E62DE8"/>
    <w:rsid w:val="00E7422B"/>
    <w:rsid w:val="00E75C4F"/>
    <w:rsid w:val="00E840C5"/>
    <w:rsid w:val="00E85B7C"/>
    <w:rsid w:val="00EA23FC"/>
    <w:rsid w:val="00EA7F60"/>
    <w:rsid w:val="00EB1708"/>
    <w:rsid w:val="00EB6E4A"/>
    <w:rsid w:val="00EB7E8C"/>
    <w:rsid w:val="00ED4A2F"/>
    <w:rsid w:val="00ED667D"/>
    <w:rsid w:val="00ED74B5"/>
    <w:rsid w:val="00EE1197"/>
    <w:rsid w:val="00EE12A5"/>
    <w:rsid w:val="00EE2D00"/>
    <w:rsid w:val="00EF53F8"/>
    <w:rsid w:val="00EF6844"/>
    <w:rsid w:val="00EF7A57"/>
    <w:rsid w:val="00F00297"/>
    <w:rsid w:val="00F02700"/>
    <w:rsid w:val="00F040F7"/>
    <w:rsid w:val="00F0756A"/>
    <w:rsid w:val="00F1665F"/>
    <w:rsid w:val="00F16BF5"/>
    <w:rsid w:val="00F2380E"/>
    <w:rsid w:val="00F26F16"/>
    <w:rsid w:val="00F27241"/>
    <w:rsid w:val="00F34637"/>
    <w:rsid w:val="00F374EC"/>
    <w:rsid w:val="00F37613"/>
    <w:rsid w:val="00F4479C"/>
    <w:rsid w:val="00F44C43"/>
    <w:rsid w:val="00F470BD"/>
    <w:rsid w:val="00F5179C"/>
    <w:rsid w:val="00F519EE"/>
    <w:rsid w:val="00F546BF"/>
    <w:rsid w:val="00F554FF"/>
    <w:rsid w:val="00F800A7"/>
    <w:rsid w:val="00F82F3E"/>
    <w:rsid w:val="00F832C1"/>
    <w:rsid w:val="00F84127"/>
    <w:rsid w:val="00F85726"/>
    <w:rsid w:val="00F90283"/>
    <w:rsid w:val="00F9288A"/>
    <w:rsid w:val="00F95A79"/>
    <w:rsid w:val="00F965A9"/>
    <w:rsid w:val="00F96CD8"/>
    <w:rsid w:val="00FA0575"/>
    <w:rsid w:val="00FA2616"/>
    <w:rsid w:val="00FA62CA"/>
    <w:rsid w:val="00FB0FA4"/>
    <w:rsid w:val="00FB3A3C"/>
    <w:rsid w:val="00FB3D5C"/>
    <w:rsid w:val="00FB5212"/>
    <w:rsid w:val="00FC01F3"/>
    <w:rsid w:val="00FC1A65"/>
    <w:rsid w:val="00FC5111"/>
    <w:rsid w:val="00FD093C"/>
    <w:rsid w:val="00FD21C0"/>
    <w:rsid w:val="00FE0977"/>
    <w:rsid w:val="00FE4F0E"/>
    <w:rsid w:val="00FE6EA4"/>
    <w:rsid w:val="00FE7B1C"/>
    <w:rsid w:val="00FF3569"/>
    <w:rsid w:val="00FF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04C72"/>
  <w15:docId w15:val="{376BE292-C114-4166-AB54-5C96EC5B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95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2DD0"/>
    <w:pPr>
      <w:tabs>
        <w:tab w:val="center" w:pos="4153"/>
        <w:tab w:val="right" w:pos="8306"/>
      </w:tabs>
    </w:pPr>
  </w:style>
  <w:style w:type="character" w:customStyle="1" w:styleId="HeaderChar">
    <w:name w:val="Header Char"/>
    <w:basedOn w:val="DefaultParagraphFont"/>
    <w:link w:val="Header"/>
    <w:rsid w:val="00B72DD0"/>
    <w:rPr>
      <w:rFonts w:ascii="Times New Roman" w:eastAsia="Times New Roman" w:hAnsi="Times New Roman" w:cs="Times New Roman"/>
      <w:sz w:val="24"/>
      <w:szCs w:val="24"/>
      <w:lang w:eastAsia="en-GB"/>
    </w:rPr>
  </w:style>
  <w:style w:type="paragraph" w:styleId="Footer">
    <w:name w:val="footer"/>
    <w:basedOn w:val="Normal"/>
    <w:link w:val="FooterChar"/>
    <w:rsid w:val="00B72DD0"/>
    <w:pPr>
      <w:tabs>
        <w:tab w:val="center" w:pos="4153"/>
        <w:tab w:val="right" w:pos="8306"/>
      </w:tabs>
    </w:pPr>
  </w:style>
  <w:style w:type="character" w:customStyle="1" w:styleId="FooterChar">
    <w:name w:val="Footer Char"/>
    <w:basedOn w:val="DefaultParagraphFont"/>
    <w:link w:val="Footer"/>
    <w:rsid w:val="00B72DD0"/>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B72DD0"/>
    <w:rPr>
      <w:sz w:val="20"/>
      <w:szCs w:val="20"/>
    </w:rPr>
  </w:style>
  <w:style w:type="character" w:customStyle="1" w:styleId="FootnoteTextChar">
    <w:name w:val="Footnote Text Char"/>
    <w:basedOn w:val="DefaultParagraphFont"/>
    <w:link w:val="FootnoteText"/>
    <w:semiHidden/>
    <w:rsid w:val="00B72DD0"/>
    <w:rPr>
      <w:rFonts w:ascii="Times New Roman" w:eastAsia="Times New Roman" w:hAnsi="Times New Roman" w:cs="Times New Roman"/>
      <w:sz w:val="20"/>
      <w:szCs w:val="20"/>
      <w:lang w:eastAsia="en-GB"/>
    </w:rPr>
  </w:style>
  <w:style w:type="character" w:styleId="FootnoteReference">
    <w:name w:val="footnote reference"/>
    <w:semiHidden/>
    <w:rsid w:val="00B72DD0"/>
    <w:rPr>
      <w:vertAlign w:val="superscript"/>
    </w:rPr>
  </w:style>
  <w:style w:type="character" w:styleId="Hyperlink">
    <w:name w:val="Hyperlink"/>
    <w:rsid w:val="00B72DD0"/>
    <w:rPr>
      <w:color w:val="0000FF"/>
      <w:u w:val="single"/>
    </w:rPr>
  </w:style>
  <w:style w:type="character" w:styleId="PageNumber">
    <w:name w:val="page number"/>
    <w:basedOn w:val="DefaultParagraphFont"/>
    <w:rsid w:val="00B72DD0"/>
  </w:style>
  <w:style w:type="paragraph" w:styleId="ListParagraph">
    <w:name w:val="List Paragraph"/>
    <w:basedOn w:val="Normal"/>
    <w:uiPriority w:val="34"/>
    <w:qFormat/>
    <w:rsid w:val="00B72DD0"/>
    <w:pPr>
      <w:ind w:left="720"/>
    </w:pPr>
  </w:style>
  <w:style w:type="character" w:styleId="CommentReference">
    <w:name w:val="annotation reference"/>
    <w:basedOn w:val="DefaultParagraphFont"/>
    <w:uiPriority w:val="99"/>
    <w:semiHidden/>
    <w:unhideWhenUsed/>
    <w:rsid w:val="008944C1"/>
    <w:rPr>
      <w:sz w:val="16"/>
      <w:szCs w:val="16"/>
    </w:rPr>
  </w:style>
  <w:style w:type="paragraph" w:styleId="CommentText">
    <w:name w:val="annotation text"/>
    <w:basedOn w:val="Normal"/>
    <w:link w:val="CommentTextChar"/>
    <w:uiPriority w:val="99"/>
    <w:semiHidden/>
    <w:unhideWhenUsed/>
    <w:rsid w:val="008944C1"/>
    <w:rPr>
      <w:sz w:val="20"/>
      <w:szCs w:val="20"/>
    </w:rPr>
  </w:style>
  <w:style w:type="character" w:customStyle="1" w:styleId="CommentTextChar">
    <w:name w:val="Comment Text Char"/>
    <w:basedOn w:val="DefaultParagraphFont"/>
    <w:link w:val="CommentText"/>
    <w:uiPriority w:val="99"/>
    <w:semiHidden/>
    <w:rsid w:val="008944C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944C1"/>
    <w:rPr>
      <w:b/>
      <w:bCs/>
    </w:rPr>
  </w:style>
  <w:style w:type="character" w:customStyle="1" w:styleId="CommentSubjectChar">
    <w:name w:val="Comment Subject Char"/>
    <w:basedOn w:val="CommentTextChar"/>
    <w:link w:val="CommentSubject"/>
    <w:uiPriority w:val="99"/>
    <w:semiHidden/>
    <w:rsid w:val="008944C1"/>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894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4C1"/>
    <w:rPr>
      <w:rFonts w:ascii="Segoe UI" w:eastAsia="Times New Roman" w:hAnsi="Segoe UI" w:cs="Segoe UI"/>
      <w:sz w:val="18"/>
      <w:szCs w:val="18"/>
      <w:lang w:eastAsia="en-GB"/>
    </w:rPr>
  </w:style>
  <w:style w:type="paragraph" w:styleId="Revision">
    <w:name w:val="Revision"/>
    <w:hidden/>
    <w:uiPriority w:val="99"/>
    <w:semiHidden/>
    <w:rsid w:val="005A1690"/>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7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e28b26-3b99-4213-afc8-a54abfb0dde2">
      <Terms xmlns="http://schemas.microsoft.com/office/infopath/2007/PartnerControls"/>
    </lcf76f155ced4ddcb4097134ff3c332f>
    <_ip_UnifiedCompliancePolicyProperties xmlns="http://schemas.microsoft.com/sharepoint/v3" xsi:nil="true"/>
    <TaxCatchAll xmlns="49256bcb-6f8c-4a34-911a-89b0bf25555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7DF2BF30EB7C40A930D6A0440665B4" ma:contentTypeVersion="18" ma:contentTypeDescription="Create a new document." ma:contentTypeScope="" ma:versionID="084d3d1b53ab395308860f0d029af9f1">
  <xsd:schema xmlns:xsd="http://www.w3.org/2001/XMLSchema" xmlns:xs="http://www.w3.org/2001/XMLSchema" xmlns:p="http://schemas.microsoft.com/office/2006/metadata/properties" xmlns:ns1="http://schemas.microsoft.com/sharepoint/v3" xmlns:ns2="7ae28b26-3b99-4213-afc8-a54abfb0dde2" xmlns:ns3="49256bcb-6f8c-4a34-911a-89b0bf255555" targetNamespace="http://schemas.microsoft.com/office/2006/metadata/properties" ma:root="true" ma:fieldsID="36bc8d577eb71841aade4b721e67e830" ns1:_="" ns2:_="" ns3:_="">
    <xsd:import namespace="http://schemas.microsoft.com/sharepoint/v3"/>
    <xsd:import namespace="7ae28b26-3b99-4213-afc8-a54abfb0dde2"/>
    <xsd:import namespace="49256bcb-6f8c-4a34-911a-89b0bf2555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28b26-3b99-4213-afc8-a54abfb0d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256bcb-6f8c-4a34-911a-89b0bf25555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e56e3b-92d8-43d6-b899-351aafd1bae0}" ma:internalName="TaxCatchAll" ma:showField="CatchAllData" ma:web="49256bcb-6f8c-4a34-911a-89b0bf2555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9B572-8582-4AF2-8E5D-01738C5B3B2A}">
  <ds:schemaRefs>
    <ds:schemaRef ds:uri="http://schemas.microsoft.com/sharepoint/v3/contenttype/forms"/>
  </ds:schemaRefs>
</ds:datastoreItem>
</file>

<file path=customXml/itemProps2.xml><?xml version="1.0" encoding="utf-8"?>
<ds:datastoreItem xmlns:ds="http://schemas.openxmlformats.org/officeDocument/2006/customXml" ds:itemID="{5A5487E5-977E-4518-A47A-B5B81ACF4449}">
  <ds:schemaRefs>
    <ds:schemaRef ds:uri="http://schemas.microsoft.com/office/2006/metadata/properties"/>
    <ds:schemaRef ds:uri="http://schemas.microsoft.com/office/infopath/2007/PartnerControls"/>
    <ds:schemaRef ds:uri="http://schemas.microsoft.com/sharepoint/v3"/>
    <ds:schemaRef ds:uri="7ae28b26-3b99-4213-afc8-a54abfb0dde2"/>
    <ds:schemaRef ds:uri="49256bcb-6f8c-4a34-911a-89b0bf255555"/>
  </ds:schemaRefs>
</ds:datastoreItem>
</file>

<file path=customXml/itemProps3.xml><?xml version="1.0" encoding="utf-8"?>
<ds:datastoreItem xmlns:ds="http://schemas.openxmlformats.org/officeDocument/2006/customXml" ds:itemID="{0868D02F-92BD-4F0E-AA7B-0F4FF63444CA}">
  <ds:schemaRefs>
    <ds:schemaRef ds:uri="http://schemas.openxmlformats.org/officeDocument/2006/bibliography"/>
  </ds:schemaRefs>
</ds:datastoreItem>
</file>

<file path=customXml/itemProps4.xml><?xml version="1.0" encoding="utf-8"?>
<ds:datastoreItem xmlns:ds="http://schemas.openxmlformats.org/officeDocument/2006/customXml" ds:itemID="{FB81F71D-ABC2-482D-A2B7-7D662CD35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e28b26-3b99-4213-afc8-a54abfb0dde2"/>
    <ds:schemaRef ds:uri="49256bcb-6f8c-4a34-911a-89b0bf255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5173</Words>
  <Characters>29491</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Shearon-Weller, Michael</dc:creator>
  <cp:lastModifiedBy>Pierce, Catherine</cp:lastModifiedBy>
  <cp:revision>2</cp:revision>
  <cp:lastPrinted>2019-01-25T15:51:00Z</cp:lastPrinted>
  <dcterms:created xsi:type="dcterms:W3CDTF">2022-09-27T13:30:00Z</dcterms:created>
  <dcterms:modified xsi:type="dcterms:W3CDTF">2022-09-27T13:30:00Z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M.Shearon-Weller@richmondandwandsworth.gov.uk</vt:lpwstr>
  </property>
  <property fmtid="{D5CDD505-2E9C-101B-9397-08002B2CF9AE}" pid="6" name="MSIP_Label_763da656-5c75-4f6d-9461-4a3ce9a537cc_SetDate">
    <vt:lpwstr>2018-11-26T17:25:33.6116122+00:00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0x0101008C7DF2BF30EB7C40A930D6A0440665B4</vt:lpwstr>
  </property>
  <property fmtid="{D5CDD505-2E9C-101B-9397-08002B2CF9AE}" pid="12" name="Order">
    <vt:r8>100</vt:r8>
  </property>
  <property fmtid="{D5CDD505-2E9C-101B-9397-08002B2CF9AE}" pid="13" name="MediaServiceImageTags">
    <vt:lpwstr/>
  </property>
  <property fmtid="{D5CDD505-2E9C-101B-9397-08002B2CF9AE}" pid="14" name="ClassificationContentMarkingHeaderShapeIds">
    <vt:lpwstr>3,4,8</vt:lpwstr>
  </property>
  <property fmtid="{D5CDD505-2E9C-101B-9397-08002B2CF9AE}" pid="15" name="ClassificationContentMarkingHeaderFontProps">
    <vt:lpwstr>#000000,10,Calibri</vt:lpwstr>
  </property>
  <property fmtid="{D5CDD505-2E9C-101B-9397-08002B2CF9AE}" pid="16" name="ClassificationContentMarkingHeaderText">
    <vt:lpwstr>Official</vt:lpwstr>
  </property>
</Properties>
</file>