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260C" w14:textId="4D3200DD" w:rsidR="00781C51" w:rsidRPr="00EA452B" w:rsidRDefault="00781C51" w:rsidP="00781C51">
      <w:pPr>
        <w:rPr>
          <w:b/>
          <w:sz w:val="44"/>
          <w:szCs w:val="44"/>
        </w:rPr>
      </w:pPr>
      <w:r w:rsidRPr="00EA452B">
        <w:rPr>
          <w:b/>
          <w:sz w:val="44"/>
          <w:szCs w:val="44"/>
        </w:rPr>
        <w:t xml:space="preserve">Proposed changes to </w:t>
      </w:r>
      <w:r>
        <w:rPr>
          <w:b/>
          <w:sz w:val="44"/>
          <w:szCs w:val="44"/>
        </w:rPr>
        <w:t>the Tenancy Policy and Tenancy and Rent Strategy</w:t>
      </w:r>
    </w:p>
    <w:p w14:paraId="3F504D67" w14:textId="77777777" w:rsidR="00781C51" w:rsidRPr="00582596" w:rsidRDefault="00781C51" w:rsidP="00781C51">
      <w:pPr>
        <w:rPr>
          <w:b/>
        </w:rPr>
      </w:pPr>
    </w:p>
    <w:p w14:paraId="06B640C3" w14:textId="13E7EABE" w:rsidR="00781C51" w:rsidRDefault="00781C51" w:rsidP="00781C51">
      <w:pPr>
        <w:rPr>
          <w:b/>
        </w:rPr>
      </w:pPr>
      <w:r w:rsidRPr="00582596">
        <w:rPr>
          <w:b/>
        </w:rPr>
        <w:t xml:space="preserve">Table 1: </w:t>
      </w:r>
      <w:r w:rsidR="00F67DD4">
        <w:rPr>
          <w:b/>
        </w:rPr>
        <w:t xml:space="preserve">Reverting to using secure (lifetime) tenancies </w:t>
      </w:r>
      <w:r w:rsidR="00777096">
        <w:rPr>
          <w:b/>
        </w:rPr>
        <w:t>and removing the use of flexible fixed term tenancies in most instances</w:t>
      </w:r>
    </w:p>
    <w:p w14:paraId="18DF323D" w14:textId="77777777" w:rsidR="00781C51" w:rsidRPr="00582596" w:rsidRDefault="00781C51" w:rsidP="00781C51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781C51" w:rsidRPr="00C54C3D" w14:paraId="04782134" w14:textId="77777777" w:rsidTr="00781C5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06E2" w14:textId="0F7DDB1E" w:rsidR="00781C51" w:rsidRDefault="00781C51" w:rsidP="00923171">
            <w:pPr>
              <w:widowControl w:val="0"/>
              <w:rPr>
                <w:bCs/>
              </w:rPr>
            </w:pPr>
            <w:r w:rsidRPr="002D6DD5">
              <w:rPr>
                <w:b/>
                <w:u w:val="single"/>
              </w:rPr>
              <w:t>Change</w:t>
            </w:r>
            <w:r w:rsidRPr="002D6DD5">
              <w:rPr>
                <w:b/>
              </w:rPr>
              <w:t>:</w:t>
            </w:r>
            <w:r w:rsidR="00777096">
              <w:rPr>
                <w:b/>
              </w:rPr>
              <w:t xml:space="preserve"> </w:t>
            </w:r>
            <w:r w:rsidR="00777096" w:rsidRPr="00EF18E4">
              <w:rPr>
                <w:bCs/>
              </w:rPr>
              <w:t xml:space="preserve">to </w:t>
            </w:r>
            <w:r w:rsidR="00FB5D6C" w:rsidRPr="00EF18E4">
              <w:rPr>
                <w:bCs/>
              </w:rPr>
              <w:t xml:space="preserve">issue secure (lifetime) </w:t>
            </w:r>
            <w:r w:rsidR="00202104">
              <w:rPr>
                <w:bCs/>
              </w:rPr>
              <w:t xml:space="preserve">periodic </w:t>
            </w:r>
            <w:r w:rsidR="00FB5D6C" w:rsidRPr="00EF18E4">
              <w:rPr>
                <w:bCs/>
              </w:rPr>
              <w:t xml:space="preserve">tenancies to new tenants and to only use flexible fixed term tenancies </w:t>
            </w:r>
            <w:r w:rsidR="00EF18E4" w:rsidRPr="00EF18E4">
              <w:rPr>
                <w:bCs/>
              </w:rPr>
              <w:t xml:space="preserve">when offering a property that has </w:t>
            </w:r>
            <w:r w:rsidR="00DF3467">
              <w:rPr>
                <w:bCs/>
              </w:rPr>
              <w:t xml:space="preserve">five </w:t>
            </w:r>
            <w:r w:rsidR="00EF18E4" w:rsidRPr="00EF18E4">
              <w:rPr>
                <w:bCs/>
              </w:rPr>
              <w:t>bedrooms or more.</w:t>
            </w:r>
          </w:p>
          <w:p w14:paraId="0216D547" w14:textId="77777777" w:rsidR="00E43E54" w:rsidRPr="007B4D31" w:rsidRDefault="00E43E54" w:rsidP="00923171">
            <w:pPr>
              <w:widowControl w:val="0"/>
              <w:rPr>
                <w:b/>
              </w:rPr>
            </w:pPr>
          </w:p>
          <w:p w14:paraId="53E09E48" w14:textId="6FE0013C" w:rsidR="00781C51" w:rsidRDefault="00781C51" w:rsidP="00923171">
            <w:pPr>
              <w:rPr>
                <w:bCs/>
              </w:rPr>
            </w:pPr>
            <w:r w:rsidRPr="00E43E54">
              <w:rPr>
                <w:b/>
                <w:u w:val="single"/>
              </w:rPr>
              <w:t>Effect</w:t>
            </w:r>
            <w:r w:rsidRPr="007B4D31">
              <w:rPr>
                <w:b/>
              </w:rPr>
              <w:t>:</w:t>
            </w:r>
            <w:r w:rsidRPr="00017CAC">
              <w:rPr>
                <w:b/>
              </w:rPr>
              <w:t xml:space="preserve"> this </w:t>
            </w:r>
            <w:r w:rsidR="00EF18E4" w:rsidRPr="00017CAC">
              <w:rPr>
                <w:b/>
              </w:rPr>
              <w:t>will ensure most of our tenants w</w:t>
            </w:r>
            <w:r w:rsidR="003E4DD2" w:rsidRPr="00017CAC">
              <w:rPr>
                <w:b/>
              </w:rPr>
              <w:t xml:space="preserve">ill have lifetime tenancies without the requirement to undertake a </w:t>
            </w:r>
            <w:r w:rsidR="00B97267" w:rsidRPr="00017CAC">
              <w:rPr>
                <w:b/>
              </w:rPr>
              <w:t xml:space="preserve">tenancy </w:t>
            </w:r>
            <w:r w:rsidR="003E4DD2" w:rsidRPr="00017CAC">
              <w:rPr>
                <w:b/>
              </w:rPr>
              <w:t>review</w:t>
            </w:r>
            <w:r w:rsidR="00202104" w:rsidRPr="00017CAC">
              <w:rPr>
                <w:b/>
              </w:rPr>
              <w:t>.</w:t>
            </w:r>
          </w:p>
          <w:p w14:paraId="4DEFD2D5" w14:textId="4100B9B1" w:rsidR="00E43E54" w:rsidRPr="007B4D31" w:rsidRDefault="00E43E54" w:rsidP="00923171">
            <w:pPr>
              <w:rPr>
                <w:bCs/>
              </w:rPr>
            </w:pPr>
          </w:p>
        </w:tc>
      </w:tr>
      <w:tr w:rsidR="00781C51" w:rsidRPr="00C54C3D" w14:paraId="4E4C899E" w14:textId="77777777" w:rsidTr="00781C5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F27" w14:textId="77777777" w:rsidR="00310227" w:rsidRPr="00E31D45" w:rsidRDefault="00247A79" w:rsidP="006965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1D45">
              <w:rPr>
                <w:color w:val="000000"/>
              </w:rPr>
              <w:t>As of March 2013</w:t>
            </w:r>
            <w:r w:rsidR="006E2D09" w:rsidRPr="00E31D45">
              <w:rPr>
                <w:color w:val="000000"/>
              </w:rPr>
              <w:t>,</w:t>
            </w:r>
            <w:r w:rsidRPr="00E31D45">
              <w:rPr>
                <w:color w:val="000000"/>
              </w:rPr>
              <w:t xml:space="preserve"> the Council has been issuing new tenants with flexible fixed term tenancies (FFTT</w:t>
            </w:r>
            <w:r w:rsidR="000F4B16" w:rsidRPr="00E31D45">
              <w:rPr>
                <w:color w:val="000000"/>
              </w:rPr>
              <w:t>)</w:t>
            </w:r>
            <w:r w:rsidR="006E2D09" w:rsidRPr="00E31D45">
              <w:rPr>
                <w:color w:val="000000"/>
              </w:rPr>
              <w:t xml:space="preserve"> where legislation has allowed. </w:t>
            </w:r>
            <w:r w:rsidR="002B1172" w:rsidRPr="00E31D45">
              <w:rPr>
                <w:color w:val="000000"/>
              </w:rPr>
              <w:t>As of 2022, t</w:t>
            </w:r>
            <w:r w:rsidR="006E2D09" w:rsidRPr="00E31D45">
              <w:rPr>
                <w:color w:val="000000"/>
              </w:rPr>
              <w:t xml:space="preserve">his has resulted in nearly 3000 tenants holding </w:t>
            </w:r>
            <w:r w:rsidR="002B1172" w:rsidRPr="00E31D45">
              <w:rPr>
                <w:color w:val="000000"/>
              </w:rPr>
              <w:t xml:space="preserve">FFTTs. </w:t>
            </w:r>
          </w:p>
          <w:p w14:paraId="3F527DB8" w14:textId="77777777" w:rsidR="00310227" w:rsidRPr="00E31D45" w:rsidRDefault="00310227" w:rsidP="006965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1FCD439" w14:textId="2BBA3347" w:rsidR="00781C51" w:rsidRPr="00E31D45" w:rsidRDefault="002B1172" w:rsidP="006965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1D45">
              <w:rPr>
                <w:color w:val="000000"/>
              </w:rPr>
              <w:t xml:space="preserve">A FFTT is a secure social housing tenancy, however, unlike tenants on </w:t>
            </w:r>
            <w:r w:rsidR="004226BD">
              <w:rPr>
                <w:color w:val="000000"/>
              </w:rPr>
              <w:t>lifetime tenancies</w:t>
            </w:r>
            <w:r w:rsidRPr="00E31D45">
              <w:rPr>
                <w:color w:val="000000"/>
              </w:rPr>
              <w:t>, tenants with a FFTT are given a tenancy for a fixed period</w:t>
            </w:r>
            <w:r w:rsidR="00125F04">
              <w:rPr>
                <w:color w:val="000000"/>
              </w:rPr>
              <w:t xml:space="preserve"> with a requirement for the tenancy to be reviewed in the last year of the FFTT </w:t>
            </w:r>
            <w:r w:rsidR="00B020E2">
              <w:rPr>
                <w:color w:val="000000"/>
              </w:rPr>
              <w:t xml:space="preserve">to </w:t>
            </w:r>
            <w:r w:rsidR="0039673A" w:rsidRPr="00E31D45">
              <w:rPr>
                <w:color w:val="000000"/>
              </w:rPr>
              <w:t xml:space="preserve">determine whether a new FFTT should be granted, or </w:t>
            </w:r>
            <w:r w:rsidR="006965F9" w:rsidRPr="00E31D45">
              <w:rPr>
                <w:color w:val="000000"/>
              </w:rPr>
              <w:t xml:space="preserve">whether no tenancy should be issued. </w:t>
            </w:r>
          </w:p>
          <w:p w14:paraId="52ECE312" w14:textId="77777777" w:rsidR="006965F9" w:rsidRPr="00E31D45" w:rsidRDefault="006965F9" w:rsidP="006965F9">
            <w:pPr>
              <w:autoSpaceDE w:val="0"/>
              <w:autoSpaceDN w:val="0"/>
              <w:adjustRightInd w:val="0"/>
            </w:pPr>
          </w:p>
          <w:p w14:paraId="1D299A60" w14:textId="4C6AD9D1" w:rsidR="006965F9" w:rsidRPr="00E31D45" w:rsidRDefault="00D01994" w:rsidP="006965F9">
            <w:pPr>
              <w:autoSpaceDE w:val="0"/>
              <w:autoSpaceDN w:val="0"/>
              <w:adjustRightInd w:val="0"/>
            </w:pPr>
            <w:r>
              <w:t xml:space="preserve">Following a review of </w:t>
            </w:r>
            <w:r w:rsidR="00D0528E" w:rsidRPr="00E31D45">
              <w:t xml:space="preserve">the </w:t>
            </w:r>
            <w:r w:rsidR="00B2233B" w:rsidRPr="00E31D45">
              <w:t>effectiveness</w:t>
            </w:r>
            <w:r w:rsidR="00D0528E" w:rsidRPr="00E31D45">
              <w:t xml:space="preserve"> of FFTTs, the Council has decided </w:t>
            </w:r>
            <w:r w:rsidR="00B2233B" w:rsidRPr="00E31D45">
              <w:t xml:space="preserve">that </w:t>
            </w:r>
            <w:r w:rsidR="00ED3FA1" w:rsidRPr="00E31D45">
              <w:t xml:space="preserve">offering </w:t>
            </w:r>
            <w:r w:rsidR="00B020E2">
              <w:t>lifetime</w:t>
            </w:r>
            <w:r w:rsidR="00243C69" w:rsidRPr="00E31D45">
              <w:t xml:space="preserve"> tenancies </w:t>
            </w:r>
            <w:r w:rsidR="00ED3FA1" w:rsidRPr="00E31D45">
              <w:t xml:space="preserve">in the majority of cases </w:t>
            </w:r>
            <w:r w:rsidR="00DB23DE" w:rsidRPr="00E31D45">
              <w:t>provides the right level of stability for tenants</w:t>
            </w:r>
            <w:r w:rsidR="00231D40" w:rsidRPr="00E31D45">
              <w:t xml:space="preserve">. </w:t>
            </w:r>
            <w:r w:rsidR="00B42FB0">
              <w:t>M</w:t>
            </w:r>
            <w:r w:rsidR="002D0E25" w:rsidRPr="00E31D45">
              <w:t>ost</w:t>
            </w:r>
            <w:r w:rsidR="00231D40" w:rsidRPr="00E31D45">
              <w:t xml:space="preserve"> new applicants offered a Wandsworth Council social housing tenancy would therefore be offered a lifetime tenancy</w:t>
            </w:r>
            <w:r w:rsidR="00BD6934">
              <w:t xml:space="preserve"> (preceded by a 12-month introductory tenancy)</w:t>
            </w:r>
            <w:r w:rsidR="002D0E25" w:rsidRPr="00E31D45">
              <w:t>.</w:t>
            </w:r>
          </w:p>
          <w:p w14:paraId="7A5AC69C" w14:textId="07824656" w:rsidR="002D0E25" w:rsidRPr="00E31D45" w:rsidRDefault="002D0E25" w:rsidP="006965F9">
            <w:pPr>
              <w:autoSpaceDE w:val="0"/>
              <w:autoSpaceDN w:val="0"/>
              <w:adjustRightInd w:val="0"/>
            </w:pPr>
          </w:p>
          <w:p w14:paraId="5E6C7E60" w14:textId="02504004" w:rsidR="00E45146" w:rsidRPr="00E31D45" w:rsidRDefault="002D0E25" w:rsidP="006965F9">
            <w:pPr>
              <w:autoSpaceDE w:val="0"/>
              <w:autoSpaceDN w:val="0"/>
              <w:adjustRightInd w:val="0"/>
            </w:pPr>
            <w:r w:rsidRPr="00E31D45">
              <w:t>This benefits new tenants since they w</w:t>
            </w:r>
            <w:r w:rsidR="003A20ED" w:rsidRPr="00E31D45">
              <w:t xml:space="preserve">ould not be required to undertake any review into their tenancy and would </w:t>
            </w:r>
            <w:r w:rsidR="00E735C8" w:rsidRPr="00E31D45">
              <w:t>have long term housing security.</w:t>
            </w:r>
          </w:p>
          <w:p w14:paraId="69985097" w14:textId="37C7CBB4" w:rsidR="00910A43" w:rsidRPr="00E31D45" w:rsidRDefault="00910A43" w:rsidP="00910A43">
            <w:pPr>
              <w:autoSpaceDE w:val="0"/>
              <w:autoSpaceDN w:val="0"/>
              <w:adjustRightInd w:val="0"/>
            </w:pPr>
          </w:p>
          <w:p w14:paraId="06DE7B9B" w14:textId="3335E831" w:rsidR="00E31D45" w:rsidRDefault="00E31D45" w:rsidP="00910A43">
            <w:pPr>
              <w:autoSpaceDE w:val="0"/>
              <w:autoSpaceDN w:val="0"/>
              <w:adjustRightInd w:val="0"/>
            </w:pPr>
            <w:r>
              <w:t>Committing to us</w:t>
            </w:r>
            <w:r w:rsidR="009F1E5F">
              <w:t>ing</w:t>
            </w:r>
            <w:r>
              <w:t xml:space="preserve"> lifetime tenancies </w:t>
            </w:r>
            <w:r w:rsidR="009F1E5F">
              <w:t xml:space="preserve">in most cases </w:t>
            </w:r>
            <w:r>
              <w:t xml:space="preserve">would also ensure that </w:t>
            </w:r>
            <w:r w:rsidR="0097440D">
              <w:t xml:space="preserve">most </w:t>
            </w:r>
            <w:r>
              <w:t xml:space="preserve">tenants have the same tenancy type, </w:t>
            </w:r>
            <w:r w:rsidR="009F1E5F">
              <w:t>reducing any disparities between those with lifetime tenancies and those with FFTTs.</w:t>
            </w:r>
          </w:p>
          <w:p w14:paraId="28452760" w14:textId="77777777" w:rsidR="00842684" w:rsidRDefault="00842684" w:rsidP="00910A43">
            <w:pPr>
              <w:autoSpaceDE w:val="0"/>
              <w:autoSpaceDN w:val="0"/>
              <w:adjustRightInd w:val="0"/>
            </w:pPr>
          </w:p>
          <w:p w14:paraId="3087393F" w14:textId="3A32F214" w:rsidR="00CD76E5" w:rsidRDefault="007959F4" w:rsidP="00910A43">
            <w:pPr>
              <w:autoSpaceDE w:val="0"/>
              <w:autoSpaceDN w:val="0"/>
              <w:adjustRightInd w:val="0"/>
            </w:pPr>
            <w:r>
              <w:t>The Tenancy Policy has been updated to</w:t>
            </w:r>
            <w:r w:rsidR="00CD5B86">
              <w:t xml:space="preserve"> reflect </w:t>
            </w:r>
            <w:r w:rsidR="00BD6934">
              <w:t>the</w:t>
            </w:r>
            <w:r w:rsidR="00CD5B86">
              <w:t xml:space="preserve"> use of lifetime tenancies in most </w:t>
            </w:r>
            <w:r w:rsidR="00BD6934">
              <w:t>cases</w:t>
            </w:r>
            <w:r w:rsidR="00CD5B86">
              <w:t xml:space="preserve">, and the Tenancy and Rent Strategy has been updated </w:t>
            </w:r>
            <w:r w:rsidR="00B42FB0">
              <w:t xml:space="preserve">to </w:t>
            </w:r>
            <w:r w:rsidR="00CD5B86">
              <w:t>outlin</w:t>
            </w:r>
            <w:r w:rsidR="00B42FB0">
              <w:t>e</w:t>
            </w:r>
            <w:r w:rsidR="00CD5B86">
              <w:t xml:space="preserve"> </w:t>
            </w:r>
            <w:r w:rsidR="00547B17">
              <w:t>that the Council encourages registered providers of social housing to also use lifetime tenancies in most instances when making a social housing tenancy offer.</w:t>
            </w:r>
          </w:p>
          <w:p w14:paraId="7CC28A9C" w14:textId="3A94629F" w:rsidR="00910A43" w:rsidRPr="00E31D45" w:rsidRDefault="00910A43" w:rsidP="009F7E51">
            <w:pPr>
              <w:autoSpaceDE w:val="0"/>
              <w:autoSpaceDN w:val="0"/>
              <w:adjustRightInd w:val="0"/>
            </w:pPr>
          </w:p>
        </w:tc>
      </w:tr>
    </w:tbl>
    <w:p w14:paraId="62C67B2A" w14:textId="77777777" w:rsidR="00781C51" w:rsidRDefault="00781C51" w:rsidP="00781C51">
      <w:pPr>
        <w:rPr>
          <w:b/>
        </w:rPr>
      </w:pPr>
    </w:p>
    <w:p w14:paraId="736FF536" w14:textId="77777777" w:rsidR="00781C51" w:rsidRDefault="00781C51" w:rsidP="00781C51">
      <w:pPr>
        <w:rPr>
          <w:b/>
        </w:rPr>
      </w:pPr>
    </w:p>
    <w:p w14:paraId="291F1B98" w14:textId="59A8979C" w:rsidR="00781C51" w:rsidRDefault="00781C51" w:rsidP="00781C51">
      <w:pPr>
        <w:rPr>
          <w:b/>
        </w:rPr>
      </w:pPr>
      <w:r>
        <w:rPr>
          <w:b/>
        </w:rPr>
        <w:t xml:space="preserve">Table 2: </w:t>
      </w:r>
      <w:r w:rsidR="00373E38">
        <w:rPr>
          <w:b/>
        </w:rPr>
        <w:t xml:space="preserve">Using FFTTs in </w:t>
      </w:r>
      <w:r w:rsidR="00ED742C">
        <w:rPr>
          <w:b/>
        </w:rPr>
        <w:t>exceptional circumstances</w:t>
      </w:r>
    </w:p>
    <w:p w14:paraId="29725D2D" w14:textId="77777777" w:rsidR="00781C51" w:rsidRPr="00BE0896" w:rsidRDefault="00781C51" w:rsidP="00781C51">
      <w:pPr>
        <w:ind w:hanging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781C51" w:rsidRPr="00BE0896" w14:paraId="364A5F34" w14:textId="77777777" w:rsidTr="00781C51">
        <w:tc>
          <w:tcPr>
            <w:tcW w:w="5000" w:type="pct"/>
            <w:shd w:val="clear" w:color="auto" w:fill="AEAAAA"/>
          </w:tcPr>
          <w:p w14:paraId="236D61B7" w14:textId="77777777" w:rsidR="00781C51" w:rsidRPr="00C54C3D" w:rsidRDefault="00781C51" w:rsidP="00923171">
            <w:pPr>
              <w:pStyle w:val="PlainTex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Hlk89422448"/>
          </w:p>
        </w:tc>
      </w:tr>
      <w:bookmarkEnd w:id="0"/>
      <w:tr w:rsidR="00781C51" w:rsidRPr="00BE0896" w14:paraId="366A02F0" w14:textId="77777777" w:rsidTr="00781C51">
        <w:tc>
          <w:tcPr>
            <w:tcW w:w="5000" w:type="pct"/>
          </w:tcPr>
          <w:p w14:paraId="5E3330CB" w14:textId="1B0A2A3D" w:rsidR="00781C51" w:rsidRPr="00BE0896" w:rsidRDefault="00781C51" w:rsidP="00923171">
            <w:pPr>
              <w:pStyle w:val="PlainTex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3816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Change</w:t>
            </w:r>
            <w:r w:rsidRPr="00C54C3D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BE089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373E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to only issue </w:t>
            </w:r>
            <w:r w:rsidR="00ED742C">
              <w:rPr>
                <w:rFonts w:ascii="Arial" w:eastAsia="Times New Roman" w:hAnsi="Arial" w:cs="Arial"/>
                <w:bCs/>
                <w:sz w:val="20"/>
                <w:szCs w:val="20"/>
              </w:rPr>
              <w:t>FFTTs when</w:t>
            </w:r>
            <w:r w:rsidR="008E17E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 household is offered a property that has five bedrooms or more</w:t>
            </w:r>
            <w:r w:rsidR="00047862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6CE3D2F4" w14:textId="77777777" w:rsidR="00781C51" w:rsidRPr="00BE0896" w:rsidRDefault="00781C51" w:rsidP="00923171">
            <w:pPr>
              <w:pStyle w:val="PlainTex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8E7B077" w14:textId="1E1D55D0" w:rsidR="00781C51" w:rsidRDefault="00781C51" w:rsidP="00923171">
            <w:pPr>
              <w:rPr>
                <w:bCs/>
              </w:rPr>
            </w:pPr>
            <w:r w:rsidRPr="001D3816">
              <w:rPr>
                <w:b/>
                <w:u w:val="single"/>
              </w:rPr>
              <w:t>Effect</w:t>
            </w:r>
            <w:r w:rsidRPr="00295B29">
              <w:rPr>
                <w:b/>
              </w:rPr>
              <w:t>:</w:t>
            </w:r>
            <w:r w:rsidRPr="00295B29">
              <w:rPr>
                <w:bCs/>
              </w:rPr>
              <w:t xml:space="preserve"> </w:t>
            </w:r>
            <w:r w:rsidR="00952BF8" w:rsidRPr="00017CAC">
              <w:rPr>
                <w:b/>
              </w:rPr>
              <w:t xml:space="preserve">this will impact </w:t>
            </w:r>
            <w:r w:rsidR="00D03ABF" w:rsidRPr="00017CAC">
              <w:rPr>
                <w:b/>
              </w:rPr>
              <w:t xml:space="preserve">approximately </w:t>
            </w:r>
            <w:r w:rsidR="00952BF8" w:rsidRPr="00017CAC">
              <w:rPr>
                <w:b/>
              </w:rPr>
              <w:t>only 1% of new Wandsworth Council social housing tenants</w:t>
            </w:r>
            <w:r w:rsidR="00573AEA" w:rsidRPr="00017CAC">
              <w:rPr>
                <w:b/>
              </w:rPr>
              <w:t xml:space="preserve"> and &lt; 0.</w:t>
            </w:r>
            <w:r w:rsidR="002B7B63" w:rsidRPr="00017CAC">
              <w:rPr>
                <w:b/>
              </w:rPr>
              <w:t>5</w:t>
            </w:r>
            <w:r w:rsidR="00573AEA" w:rsidRPr="00017CAC">
              <w:rPr>
                <w:b/>
              </w:rPr>
              <w:t>% of existing Wandsworth Council social housing tenants</w:t>
            </w:r>
            <w:r w:rsidR="002B7B63" w:rsidRPr="00017CAC">
              <w:rPr>
                <w:b/>
              </w:rPr>
              <w:t xml:space="preserve"> on a </w:t>
            </w:r>
            <w:proofErr w:type="gramStart"/>
            <w:r w:rsidR="002B7B63" w:rsidRPr="00017CAC">
              <w:rPr>
                <w:b/>
              </w:rPr>
              <w:t>FFTT</w:t>
            </w:r>
            <w:r w:rsidR="00952BF8" w:rsidRPr="00017CAC">
              <w:rPr>
                <w:b/>
              </w:rPr>
              <w:t>, and</w:t>
            </w:r>
            <w:proofErr w:type="gramEnd"/>
            <w:r w:rsidR="00952BF8" w:rsidRPr="00017CAC">
              <w:rPr>
                <w:b/>
              </w:rPr>
              <w:t xml:space="preserve"> </w:t>
            </w:r>
            <w:r w:rsidR="00B47B04" w:rsidRPr="00017CAC">
              <w:rPr>
                <w:b/>
              </w:rPr>
              <w:t xml:space="preserve">will ensure </w:t>
            </w:r>
            <w:r w:rsidR="00B9331F" w:rsidRPr="00017CAC">
              <w:rPr>
                <w:b/>
              </w:rPr>
              <w:t xml:space="preserve">the Council is able to </w:t>
            </w:r>
            <w:r w:rsidR="00690921" w:rsidRPr="00017CAC">
              <w:rPr>
                <w:b/>
              </w:rPr>
              <w:t>make best use of its social housing stock.</w:t>
            </w:r>
            <w:r w:rsidR="0006415A">
              <w:rPr>
                <w:bCs/>
              </w:rPr>
              <w:t xml:space="preserve"> </w:t>
            </w:r>
          </w:p>
          <w:p w14:paraId="7B20DA77" w14:textId="12274DFD" w:rsidR="00952BF8" w:rsidRPr="00295B29" w:rsidRDefault="00952BF8" w:rsidP="00923171">
            <w:pPr>
              <w:rPr>
                <w:bCs/>
              </w:rPr>
            </w:pPr>
          </w:p>
        </w:tc>
      </w:tr>
      <w:tr w:rsidR="00781C51" w:rsidRPr="00BE0896" w14:paraId="38EEB67E" w14:textId="77777777" w:rsidTr="00781C51">
        <w:tc>
          <w:tcPr>
            <w:tcW w:w="5000" w:type="pct"/>
          </w:tcPr>
          <w:p w14:paraId="650D5DE7" w14:textId="36CE5DF4" w:rsidR="001C7F45" w:rsidRDefault="00225BA3" w:rsidP="007A7884">
            <w:pPr>
              <w:rPr>
                <w:spacing w:val="-1"/>
              </w:rPr>
            </w:pPr>
            <w:r>
              <w:rPr>
                <w:spacing w:val="-1"/>
              </w:rPr>
              <w:t>The</w:t>
            </w:r>
            <w:r w:rsidR="00D03ABF">
              <w:rPr>
                <w:spacing w:val="-1"/>
              </w:rPr>
              <w:t>re is high</w:t>
            </w:r>
            <w:r>
              <w:rPr>
                <w:spacing w:val="-1"/>
              </w:rPr>
              <w:t xml:space="preserve"> demand for </w:t>
            </w:r>
            <w:r w:rsidR="0051605F">
              <w:rPr>
                <w:spacing w:val="-1"/>
              </w:rPr>
              <w:t>social housing properties of</w:t>
            </w:r>
            <w:r w:rsidR="00E62B14">
              <w:rPr>
                <w:spacing w:val="-1"/>
              </w:rPr>
              <w:t xml:space="preserve"> five </w:t>
            </w:r>
            <w:r w:rsidR="0051605F">
              <w:rPr>
                <w:spacing w:val="-1"/>
              </w:rPr>
              <w:t xml:space="preserve">bedrooms or </w:t>
            </w:r>
            <w:r w:rsidR="008A23B3">
              <w:rPr>
                <w:spacing w:val="-1"/>
              </w:rPr>
              <w:t>more</w:t>
            </w:r>
            <w:r w:rsidR="002037A0">
              <w:rPr>
                <w:spacing w:val="-1"/>
              </w:rPr>
              <w:t xml:space="preserve"> against a </w:t>
            </w:r>
            <w:r w:rsidR="0051605F">
              <w:rPr>
                <w:spacing w:val="-1"/>
              </w:rPr>
              <w:t xml:space="preserve">shortage of these properties. </w:t>
            </w:r>
            <w:r w:rsidR="00BC3FBC">
              <w:rPr>
                <w:spacing w:val="-1"/>
              </w:rPr>
              <w:t>To</w:t>
            </w:r>
            <w:r w:rsidR="00CA4231">
              <w:rPr>
                <w:spacing w:val="-1"/>
              </w:rPr>
              <w:t xml:space="preserve"> ensure the Council is able to </w:t>
            </w:r>
            <w:r w:rsidR="00024FC0">
              <w:rPr>
                <w:spacing w:val="-1"/>
              </w:rPr>
              <w:t xml:space="preserve">make best use of its stock and </w:t>
            </w:r>
            <w:r w:rsidR="00C77DB4">
              <w:rPr>
                <w:spacing w:val="-1"/>
              </w:rPr>
              <w:t xml:space="preserve">to reduce the </w:t>
            </w:r>
            <w:r w:rsidR="00F9113F">
              <w:rPr>
                <w:spacing w:val="-1"/>
              </w:rPr>
              <w:t xml:space="preserve">need for larger properties, </w:t>
            </w:r>
            <w:r w:rsidR="00DE2AF7">
              <w:rPr>
                <w:spacing w:val="-1"/>
              </w:rPr>
              <w:t xml:space="preserve">the Council will continue to </w:t>
            </w:r>
            <w:r w:rsidR="00E257F3">
              <w:rPr>
                <w:spacing w:val="-1"/>
              </w:rPr>
              <w:t>issue</w:t>
            </w:r>
            <w:r w:rsidR="00DE2AF7">
              <w:rPr>
                <w:spacing w:val="-1"/>
              </w:rPr>
              <w:t xml:space="preserve"> FFTTs (where legislation allows) </w:t>
            </w:r>
            <w:r w:rsidR="00E257F3">
              <w:rPr>
                <w:spacing w:val="-1"/>
              </w:rPr>
              <w:t xml:space="preserve">when making an offer of a property that has </w:t>
            </w:r>
            <w:r w:rsidR="00E62B14">
              <w:rPr>
                <w:spacing w:val="-1"/>
              </w:rPr>
              <w:t xml:space="preserve">five </w:t>
            </w:r>
            <w:r w:rsidR="00E257F3">
              <w:rPr>
                <w:spacing w:val="-1"/>
              </w:rPr>
              <w:t xml:space="preserve">bedrooms or more. </w:t>
            </w:r>
          </w:p>
          <w:p w14:paraId="247A67A0" w14:textId="77777777" w:rsidR="001C7F45" w:rsidRDefault="001C7F45" w:rsidP="007A7884">
            <w:pPr>
              <w:rPr>
                <w:spacing w:val="-1"/>
              </w:rPr>
            </w:pPr>
          </w:p>
          <w:p w14:paraId="10B76DD5" w14:textId="28E88EA5" w:rsidR="00781C51" w:rsidRDefault="00200ED3" w:rsidP="007A7884">
            <w:pPr>
              <w:rPr>
                <w:spacing w:val="-1"/>
              </w:rPr>
            </w:pPr>
            <w:r>
              <w:rPr>
                <w:spacing w:val="-1"/>
              </w:rPr>
              <w:t xml:space="preserve">The length of time that FFTTs will be issued will </w:t>
            </w:r>
            <w:r w:rsidR="007B3DAE">
              <w:rPr>
                <w:spacing w:val="-1"/>
              </w:rPr>
              <w:t xml:space="preserve">not change as per </w:t>
            </w:r>
            <w:r w:rsidR="00790C08">
              <w:rPr>
                <w:spacing w:val="-1"/>
              </w:rPr>
              <w:t>the current practice,</w:t>
            </w:r>
            <w:r>
              <w:rPr>
                <w:spacing w:val="-1"/>
              </w:rPr>
              <w:t xml:space="preserve"> </w:t>
            </w:r>
            <w:r w:rsidR="0078409F">
              <w:rPr>
                <w:spacing w:val="-1"/>
              </w:rPr>
              <w:t xml:space="preserve">with new tenants being offered an initial ten year FFTT, and all subsequent tenancies </w:t>
            </w:r>
            <w:r w:rsidR="006C1DE5">
              <w:rPr>
                <w:spacing w:val="-1"/>
              </w:rPr>
              <w:t>will be five year FFTTs</w:t>
            </w:r>
            <w:r w:rsidR="00274322">
              <w:rPr>
                <w:spacing w:val="-1"/>
              </w:rPr>
              <w:t xml:space="preserve"> </w:t>
            </w:r>
            <w:r w:rsidR="00274322">
              <w:rPr>
                <w:spacing w:val="-1"/>
              </w:rPr>
              <w:lastRenderedPageBreak/>
              <w:t>(or less)</w:t>
            </w:r>
            <w:r w:rsidR="006C1DE5">
              <w:rPr>
                <w:spacing w:val="-1"/>
              </w:rPr>
              <w:t>. When a review period starts</w:t>
            </w:r>
            <w:r w:rsidR="005337A6">
              <w:rPr>
                <w:spacing w:val="-1"/>
              </w:rPr>
              <w:t xml:space="preserve"> towards the end of the FFTT</w:t>
            </w:r>
            <w:r w:rsidR="006C1DE5">
              <w:rPr>
                <w:spacing w:val="-1"/>
              </w:rPr>
              <w:t xml:space="preserve">, the Council will work with the </w:t>
            </w:r>
            <w:r w:rsidR="00863073">
              <w:rPr>
                <w:spacing w:val="-1"/>
              </w:rPr>
              <w:t>main tenant/s</w:t>
            </w:r>
            <w:r w:rsidR="006C1DE5">
              <w:rPr>
                <w:spacing w:val="-1"/>
              </w:rPr>
              <w:t xml:space="preserve"> to determine whether the size of the property best meets the</w:t>
            </w:r>
            <w:r w:rsidR="00863073">
              <w:rPr>
                <w:spacing w:val="-1"/>
              </w:rPr>
              <w:t>ir</w:t>
            </w:r>
            <w:r w:rsidR="006C1DE5">
              <w:rPr>
                <w:spacing w:val="-1"/>
              </w:rPr>
              <w:t xml:space="preserve"> </w:t>
            </w:r>
            <w:r w:rsidR="00863073">
              <w:rPr>
                <w:spacing w:val="-1"/>
              </w:rPr>
              <w:t>household</w:t>
            </w:r>
            <w:r w:rsidR="00B42FB0">
              <w:rPr>
                <w:spacing w:val="-1"/>
              </w:rPr>
              <w:t>’</w:t>
            </w:r>
            <w:r w:rsidR="00863073">
              <w:rPr>
                <w:spacing w:val="-1"/>
              </w:rPr>
              <w:t>s need</w:t>
            </w:r>
            <w:r w:rsidR="00BD2FFA">
              <w:rPr>
                <w:spacing w:val="-1"/>
              </w:rPr>
              <w:t>. During the review, if it is deemed that the property size still meets the needs of</w:t>
            </w:r>
            <w:r w:rsidR="00274322">
              <w:rPr>
                <w:spacing w:val="-1"/>
              </w:rPr>
              <w:t xml:space="preserve"> </w:t>
            </w:r>
            <w:r w:rsidR="00BD2FFA">
              <w:rPr>
                <w:spacing w:val="-1"/>
              </w:rPr>
              <w:t>the household</w:t>
            </w:r>
            <w:r w:rsidR="00274322">
              <w:rPr>
                <w:spacing w:val="-1"/>
              </w:rPr>
              <w:t xml:space="preserve"> size</w:t>
            </w:r>
            <w:r w:rsidR="00BD2FFA">
              <w:rPr>
                <w:spacing w:val="-1"/>
              </w:rPr>
              <w:t xml:space="preserve">, then the </w:t>
            </w:r>
            <w:r w:rsidR="004D53CA">
              <w:rPr>
                <w:spacing w:val="-1"/>
              </w:rPr>
              <w:t>tenant/s would usually be offered another FFTT of five years</w:t>
            </w:r>
            <w:r w:rsidR="00B42FB0">
              <w:rPr>
                <w:spacing w:val="-1"/>
              </w:rPr>
              <w:t xml:space="preserve"> at the same property</w:t>
            </w:r>
            <w:r w:rsidR="00A716BC">
              <w:rPr>
                <w:spacing w:val="-1"/>
              </w:rPr>
              <w:t>.</w:t>
            </w:r>
            <w:r w:rsidR="004D53CA">
              <w:rPr>
                <w:spacing w:val="-1"/>
              </w:rPr>
              <w:t xml:space="preserve"> </w:t>
            </w:r>
            <w:r w:rsidR="00A716BC">
              <w:rPr>
                <w:spacing w:val="-1"/>
              </w:rPr>
              <w:t>I</w:t>
            </w:r>
            <w:r w:rsidR="00863073">
              <w:rPr>
                <w:spacing w:val="-1"/>
              </w:rPr>
              <w:t xml:space="preserve">f there has been a change in the household size which results in the </w:t>
            </w:r>
            <w:r w:rsidR="001C7F45">
              <w:rPr>
                <w:spacing w:val="-1"/>
              </w:rPr>
              <w:t xml:space="preserve">household under occupying the property, the Council will </w:t>
            </w:r>
            <w:r w:rsidR="000B602C">
              <w:rPr>
                <w:spacing w:val="-1"/>
              </w:rPr>
              <w:t>offer a new tenancy at a suitably sized property that meets the household’s needs in order that the</w:t>
            </w:r>
            <w:r w:rsidR="00C060E4">
              <w:rPr>
                <w:spacing w:val="-1"/>
              </w:rPr>
              <w:t xml:space="preserve"> larger property can be offered to a household in need of </w:t>
            </w:r>
            <w:r w:rsidR="000B602C">
              <w:rPr>
                <w:spacing w:val="-1"/>
              </w:rPr>
              <w:t>it.</w:t>
            </w:r>
            <w:r w:rsidR="00C060E4">
              <w:rPr>
                <w:spacing w:val="-1"/>
              </w:rPr>
              <w:t xml:space="preserve"> If the household downsize</w:t>
            </w:r>
            <w:r w:rsidR="000B602C">
              <w:rPr>
                <w:spacing w:val="-1"/>
              </w:rPr>
              <w:t>s</w:t>
            </w:r>
            <w:r w:rsidR="00C060E4">
              <w:rPr>
                <w:spacing w:val="-1"/>
              </w:rPr>
              <w:t xml:space="preserve"> to a </w:t>
            </w:r>
            <w:r w:rsidR="00FA562E">
              <w:rPr>
                <w:spacing w:val="-1"/>
              </w:rPr>
              <w:t>property that is smaller than five bedrooms, they would be offered a</w:t>
            </w:r>
            <w:r w:rsidR="000B602C">
              <w:rPr>
                <w:spacing w:val="-1"/>
              </w:rPr>
              <w:t xml:space="preserve"> </w:t>
            </w:r>
            <w:r w:rsidR="002424C2">
              <w:rPr>
                <w:spacing w:val="-1"/>
              </w:rPr>
              <w:t xml:space="preserve">lifetime </w:t>
            </w:r>
            <w:r w:rsidR="00FA562E">
              <w:rPr>
                <w:spacing w:val="-1"/>
              </w:rPr>
              <w:t xml:space="preserve">tenancy. </w:t>
            </w:r>
          </w:p>
          <w:p w14:paraId="02367276" w14:textId="7DD1D7A7" w:rsidR="00FA562E" w:rsidRDefault="00FA562E" w:rsidP="007A7884">
            <w:pPr>
              <w:rPr>
                <w:spacing w:val="-1"/>
              </w:rPr>
            </w:pPr>
          </w:p>
          <w:p w14:paraId="795192D9" w14:textId="2DC87EED" w:rsidR="007A7884" w:rsidRPr="004C116F" w:rsidRDefault="00FA562E" w:rsidP="007A7884">
            <w:r>
              <w:rPr>
                <w:spacing w:val="-1"/>
              </w:rPr>
              <w:t xml:space="preserve">The Tenancy Policy has been updated to reflect </w:t>
            </w:r>
            <w:r w:rsidR="00842684">
              <w:rPr>
                <w:spacing w:val="-1"/>
              </w:rPr>
              <w:t>our us</w:t>
            </w:r>
            <w:r w:rsidR="003E09BF">
              <w:rPr>
                <w:spacing w:val="-1"/>
              </w:rPr>
              <w:t>e</w:t>
            </w:r>
            <w:r w:rsidR="00842684">
              <w:rPr>
                <w:spacing w:val="-1"/>
              </w:rPr>
              <w:t xml:space="preserve"> </w:t>
            </w:r>
            <w:r w:rsidR="003E09BF">
              <w:rPr>
                <w:spacing w:val="-1"/>
              </w:rPr>
              <w:t>of</w:t>
            </w:r>
            <w:r w:rsidR="00A02710">
              <w:rPr>
                <w:spacing w:val="-1"/>
              </w:rPr>
              <w:t xml:space="preserve"> offering</w:t>
            </w:r>
            <w:r w:rsidR="003E09BF">
              <w:rPr>
                <w:spacing w:val="-1"/>
              </w:rPr>
              <w:t xml:space="preserve"> </w:t>
            </w:r>
            <w:r w:rsidR="00842684">
              <w:rPr>
                <w:spacing w:val="-1"/>
              </w:rPr>
              <w:t xml:space="preserve">FFTTs </w:t>
            </w:r>
            <w:r w:rsidR="003375C7">
              <w:rPr>
                <w:spacing w:val="-1"/>
              </w:rPr>
              <w:t xml:space="preserve">(to an existing tenant on a FFTT or a new tenant) </w:t>
            </w:r>
            <w:r w:rsidR="001376F8">
              <w:rPr>
                <w:spacing w:val="-1"/>
              </w:rPr>
              <w:t xml:space="preserve">on properties that are </w:t>
            </w:r>
            <w:r w:rsidR="003E09BF">
              <w:rPr>
                <w:spacing w:val="-1"/>
              </w:rPr>
              <w:t>five bedrooms or larger</w:t>
            </w:r>
            <w:r w:rsidR="001376F8">
              <w:rPr>
                <w:spacing w:val="-1"/>
              </w:rPr>
              <w:t>. The</w:t>
            </w:r>
            <w:r w:rsidR="00820FC3">
              <w:t xml:space="preserve"> Tenancy and Rent Strategy has been updated </w:t>
            </w:r>
            <w:r w:rsidR="003871C5">
              <w:t xml:space="preserve">encouraging registered providers of social housing to only use FFTTs if the property offered (to existing tenants on FFTTs or to a new </w:t>
            </w:r>
            <w:r w:rsidR="004C116F">
              <w:t xml:space="preserve">tenant) is five bedrooms or larger. </w:t>
            </w:r>
          </w:p>
          <w:p w14:paraId="34E46475" w14:textId="67FD3E72" w:rsidR="007A7884" w:rsidRPr="00BE0896" w:rsidRDefault="007A7884" w:rsidP="007A7884">
            <w:pPr>
              <w:rPr>
                <w:b/>
              </w:rPr>
            </w:pPr>
          </w:p>
        </w:tc>
      </w:tr>
      <w:tr w:rsidR="00781C51" w:rsidRPr="00BE0896" w14:paraId="661583BF" w14:textId="77777777" w:rsidTr="00781C51">
        <w:tc>
          <w:tcPr>
            <w:tcW w:w="5000" w:type="pct"/>
            <w:shd w:val="clear" w:color="auto" w:fill="AEAAAA"/>
          </w:tcPr>
          <w:p w14:paraId="38DBDF62" w14:textId="77777777" w:rsidR="00781C51" w:rsidRPr="00BE0896" w:rsidRDefault="00781C51" w:rsidP="00923171">
            <w:pPr>
              <w:pStyle w:val="PlainTex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1C51" w:rsidRPr="00BE0896" w14:paraId="012BD727" w14:textId="77777777" w:rsidTr="00781C51">
        <w:tc>
          <w:tcPr>
            <w:tcW w:w="5000" w:type="pct"/>
          </w:tcPr>
          <w:p w14:paraId="626C2BB9" w14:textId="102000EB" w:rsidR="00781C51" w:rsidRPr="00BE0896" w:rsidRDefault="00781C51" w:rsidP="00923171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 w:rsidRPr="001D3816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Change</w:t>
            </w:r>
            <w:r w:rsidRPr="00C54C3D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BE089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D381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all </w:t>
            </w:r>
            <w:r w:rsidR="005C4B9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eligible </w:t>
            </w:r>
            <w:r w:rsidR="001D381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existing tenants on a FFTT </w:t>
            </w:r>
            <w:r w:rsidR="00AF1D9A">
              <w:rPr>
                <w:rFonts w:ascii="Arial" w:eastAsia="Times New Roman" w:hAnsi="Arial" w:cs="Arial"/>
                <w:bCs/>
                <w:sz w:val="20"/>
                <w:szCs w:val="20"/>
              </w:rPr>
              <w:t>that are occupying a property that is</w:t>
            </w:r>
            <w:r w:rsidR="00D648E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up to</w:t>
            </w:r>
            <w:r w:rsidR="00224EE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 including</w:t>
            </w:r>
            <w:r w:rsidR="00AF1D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four bedrooms </w:t>
            </w:r>
            <w:r w:rsidR="002107C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will be offered </w:t>
            </w:r>
            <w:r w:rsidR="004D495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 lifetime tenancy </w:t>
            </w:r>
            <w:r w:rsidR="0037379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or automatically issued with </w:t>
            </w:r>
            <w:r w:rsidR="00BD551F">
              <w:rPr>
                <w:rFonts w:ascii="Arial" w:eastAsia="Times New Roman" w:hAnsi="Arial" w:cs="Arial"/>
                <w:bCs/>
                <w:sz w:val="20"/>
                <w:szCs w:val="20"/>
              </w:rPr>
              <w:t>a lifetime tenancy</w:t>
            </w:r>
            <w:r w:rsidR="000B602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when a current FFTT rolls on to becoming a secure periodic tenancy</w:t>
            </w:r>
            <w:r w:rsidR="00AA3B84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6AD64347" w14:textId="77777777" w:rsidR="00781C51" w:rsidRPr="00BE0896" w:rsidRDefault="00781C51" w:rsidP="00923171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A01E05" w14:textId="3CE5DCF4" w:rsidR="00781C51" w:rsidRPr="00017CAC" w:rsidRDefault="00781C51" w:rsidP="00923171">
            <w:pPr>
              <w:widowControl w:val="0"/>
              <w:rPr>
                <w:b/>
              </w:rPr>
            </w:pPr>
            <w:r w:rsidRPr="001D3816">
              <w:rPr>
                <w:b/>
                <w:u w:val="single"/>
              </w:rPr>
              <w:t>Effect</w:t>
            </w:r>
            <w:r w:rsidRPr="00295B29">
              <w:rPr>
                <w:b/>
              </w:rPr>
              <w:t>:</w:t>
            </w:r>
            <w:r w:rsidR="00BD551F" w:rsidRPr="00476865">
              <w:rPr>
                <w:bCs/>
              </w:rPr>
              <w:t xml:space="preserve"> </w:t>
            </w:r>
            <w:r w:rsidR="004A3098" w:rsidRPr="00017CAC">
              <w:rPr>
                <w:b/>
              </w:rPr>
              <w:t>m</w:t>
            </w:r>
            <w:r w:rsidR="00D14BEE" w:rsidRPr="00017CAC">
              <w:rPr>
                <w:b/>
              </w:rPr>
              <w:t xml:space="preserve">ost existing and eligible tenants on a FFTT being offered a lifetime tenancy </w:t>
            </w:r>
            <w:r w:rsidR="00F72155" w:rsidRPr="00017CAC">
              <w:rPr>
                <w:b/>
              </w:rPr>
              <w:t>while allowing housing officers to engage and assist tenants with outstanding rent arrears.</w:t>
            </w:r>
          </w:p>
          <w:p w14:paraId="38DFEA49" w14:textId="5EAC619C" w:rsidR="001D3816" w:rsidRPr="00295B29" w:rsidRDefault="001D3816" w:rsidP="00923171">
            <w:pPr>
              <w:widowControl w:val="0"/>
            </w:pPr>
          </w:p>
        </w:tc>
      </w:tr>
      <w:tr w:rsidR="00781C51" w:rsidRPr="00BE0896" w14:paraId="63577D5D" w14:textId="77777777" w:rsidTr="00781C51">
        <w:tc>
          <w:tcPr>
            <w:tcW w:w="5000" w:type="pct"/>
          </w:tcPr>
          <w:p w14:paraId="7CDF3D57" w14:textId="0B3E5EC6" w:rsidR="000805DD" w:rsidRDefault="00FF3F86" w:rsidP="00C95B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As of August 2022, there are nearly 3000 tenants with FFTTs</w:t>
            </w:r>
            <w:r w:rsidR="002C7E85">
              <w:rPr>
                <w:color w:val="000000"/>
              </w:rPr>
              <w:t xml:space="preserve">. </w:t>
            </w:r>
            <w:r w:rsidR="00C95B6F">
              <w:rPr>
                <w:color w:val="000000"/>
              </w:rPr>
              <w:t xml:space="preserve">Following changes to the Tenancy Policy and Tenancy and Rent Strategy, </w:t>
            </w:r>
            <w:r w:rsidR="002C7E85">
              <w:rPr>
                <w:color w:val="000000"/>
              </w:rPr>
              <w:t>all tenants on a FFTT will be offered a lifetime tenancy if</w:t>
            </w:r>
            <w:r w:rsidR="00FD469A">
              <w:rPr>
                <w:color w:val="000000"/>
              </w:rPr>
              <w:t xml:space="preserve"> they are eligible based on the following criteria</w:t>
            </w:r>
            <w:r w:rsidR="002C7E85">
              <w:rPr>
                <w:color w:val="000000"/>
              </w:rPr>
              <w:t>:</w:t>
            </w:r>
          </w:p>
          <w:p w14:paraId="70B1EF5C" w14:textId="75389282" w:rsidR="002C7E85" w:rsidRDefault="002C7E85" w:rsidP="00C95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67C0F84" w14:textId="22F857AD" w:rsidR="00FD469A" w:rsidRPr="00FD469A" w:rsidRDefault="00450477" w:rsidP="002C7E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t>T</w:t>
            </w:r>
            <w:r w:rsidR="00F30992">
              <w:t>he tenant/s were granted a new or a subsequent flexible fixed term tenancy for a property that has 4-bedrooms or fewer, and the flexible fixed term tenancy was granted between 1</w:t>
            </w:r>
            <w:r w:rsidR="00F30992" w:rsidRPr="002D006A">
              <w:rPr>
                <w:vertAlign w:val="superscript"/>
              </w:rPr>
              <w:t>st</w:t>
            </w:r>
            <w:r w:rsidR="00F30992">
              <w:t xml:space="preserve"> April 2013 to 30</w:t>
            </w:r>
            <w:r w:rsidR="00F30992" w:rsidRPr="002D006A">
              <w:rPr>
                <w:vertAlign w:val="superscript"/>
              </w:rPr>
              <w:t>th</w:t>
            </w:r>
            <w:r w:rsidR="00F30992">
              <w:t xml:space="preserve"> November 2022;</w:t>
            </w:r>
            <w:r w:rsidR="00FD469A">
              <w:t xml:space="preserve"> and</w:t>
            </w:r>
          </w:p>
          <w:p w14:paraId="003FD991" w14:textId="1E3258EB" w:rsidR="00AB0FBC" w:rsidRDefault="00450477" w:rsidP="002C7E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t>There are no ongoing actions being taken against the tenant/s for example for rent arrears and or / anti-social behaviour, which includes those served with a six month notice that the Council does not propose to grant a further tenancy when the fixed term expires or issued with a possession order or bailiff warrant.</w:t>
            </w:r>
          </w:p>
          <w:p w14:paraId="6124CFBB" w14:textId="5C4214F2" w:rsidR="00A0461F" w:rsidRDefault="00A0461F" w:rsidP="0091259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E2A63D9" w14:textId="17E303BE" w:rsidR="00A0461F" w:rsidRDefault="00A0461F" w:rsidP="009125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If the tenant is occupying a property </w:t>
            </w:r>
            <w:r w:rsidR="00224EEA">
              <w:rPr>
                <w:color w:val="000000"/>
              </w:rPr>
              <w:t>with</w:t>
            </w:r>
            <w:r w:rsidR="006D7CC4">
              <w:rPr>
                <w:color w:val="000000"/>
              </w:rPr>
              <w:t xml:space="preserve"> up to four</w:t>
            </w:r>
            <w:r>
              <w:rPr>
                <w:color w:val="000000"/>
              </w:rPr>
              <w:t xml:space="preserve"> bedrooms </w:t>
            </w:r>
            <w:r w:rsidR="006D7CC4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nd they </w:t>
            </w:r>
            <w:r w:rsidR="007806FE">
              <w:rPr>
                <w:color w:val="000000"/>
              </w:rPr>
              <w:t>owe</w:t>
            </w:r>
            <w:r>
              <w:rPr>
                <w:color w:val="000000"/>
              </w:rPr>
              <w:t xml:space="preserve"> rent arrears, then the </w:t>
            </w:r>
            <w:r w:rsidR="001A6A6D">
              <w:rPr>
                <w:color w:val="000000"/>
              </w:rPr>
              <w:t xml:space="preserve">Council </w:t>
            </w:r>
            <w:r w:rsidR="00F72831">
              <w:rPr>
                <w:color w:val="000000"/>
              </w:rPr>
              <w:t>will utilise the</w:t>
            </w:r>
            <w:r w:rsidR="001A6A6D">
              <w:rPr>
                <w:color w:val="000000"/>
              </w:rPr>
              <w:t xml:space="preserve"> </w:t>
            </w:r>
            <w:r w:rsidR="001F2BAE">
              <w:rPr>
                <w:color w:val="000000"/>
              </w:rPr>
              <w:t>remaining time left on a tenant</w:t>
            </w:r>
            <w:r w:rsidR="000B602C">
              <w:rPr>
                <w:color w:val="000000"/>
              </w:rPr>
              <w:t>’</w:t>
            </w:r>
            <w:r w:rsidR="001F2BAE">
              <w:rPr>
                <w:color w:val="000000"/>
              </w:rPr>
              <w:t xml:space="preserve">s FFTT to encourage and assist the tenant through </w:t>
            </w:r>
            <w:r w:rsidR="00FE4A48">
              <w:rPr>
                <w:color w:val="000000"/>
              </w:rPr>
              <w:t>targeted support to clear or reduce their arrears in preparation for the granting of a lifetime tenancy.</w:t>
            </w:r>
          </w:p>
          <w:p w14:paraId="31E9E906" w14:textId="759D4E16" w:rsidR="00FE4A48" w:rsidRDefault="00FE4A48" w:rsidP="0091259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EC9AA10" w14:textId="2C4DDFF8" w:rsidR="00FE4A48" w:rsidRPr="0091259C" w:rsidRDefault="00FE4A48" w:rsidP="009125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In the event the </w:t>
            </w:r>
            <w:r w:rsidR="00977E09">
              <w:rPr>
                <w:color w:val="000000"/>
              </w:rPr>
              <w:t>tenant</w:t>
            </w:r>
            <w:r>
              <w:rPr>
                <w:color w:val="000000"/>
              </w:rPr>
              <w:t xml:space="preserve"> has</w:t>
            </w:r>
            <w:r w:rsidR="00B9053B">
              <w:rPr>
                <w:color w:val="000000"/>
              </w:rPr>
              <w:t xml:space="preserve"> been</w:t>
            </w:r>
            <w:r>
              <w:rPr>
                <w:color w:val="000000"/>
              </w:rPr>
              <w:t xml:space="preserve"> </w:t>
            </w:r>
            <w:r w:rsidR="00977E09">
              <w:rPr>
                <w:color w:val="000000"/>
              </w:rPr>
              <w:t xml:space="preserve">issued </w:t>
            </w:r>
            <w:r w:rsidR="00DE7459">
              <w:rPr>
                <w:color w:val="000000"/>
              </w:rPr>
              <w:t xml:space="preserve">with possession proceedings for </w:t>
            </w:r>
            <w:r w:rsidR="00E11EFD">
              <w:rPr>
                <w:color w:val="000000"/>
              </w:rPr>
              <w:t xml:space="preserve">rent arrears and/or </w:t>
            </w:r>
            <w:r w:rsidR="00B9053B">
              <w:rPr>
                <w:color w:val="000000"/>
              </w:rPr>
              <w:t>antisocial behaviour,</w:t>
            </w:r>
            <w:r w:rsidR="00406457">
              <w:rPr>
                <w:color w:val="000000"/>
              </w:rPr>
              <w:t xml:space="preserve"> or those served with a six month notice </w:t>
            </w:r>
            <w:r w:rsidR="000C6DC5">
              <w:rPr>
                <w:color w:val="000000"/>
              </w:rPr>
              <w:t xml:space="preserve">as set out in the Tenancy Policy when reviewing a FFTT, the Council will retain its right to continue with proceedings and to not offer a </w:t>
            </w:r>
            <w:r w:rsidR="003F44E0">
              <w:rPr>
                <w:color w:val="000000"/>
              </w:rPr>
              <w:t>lifetime</w:t>
            </w:r>
            <w:r w:rsidR="000C6DC5">
              <w:rPr>
                <w:color w:val="000000"/>
              </w:rPr>
              <w:t xml:space="preserve"> tenancy. </w:t>
            </w:r>
          </w:p>
          <w:p w14:paraId="417B16FF" w14:textId="3012EF23" w:rsidR="00EB5F89" w:rsidRDefault="00EB5F89" w:rsidP="00FF3F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0C81AA1" w14:textId="26B06E53" w:rsidR="00FF3F86" w:rsidRDefault="00EB5F89" w:rsidP="00A67BD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If a</w:t>
            </w:r>
            <w:r w:rsidR="00F74416">
              <w:rPr>
                <w:color w:val="000000"/>
              </w:rPr>
              <w:t>n eligible</w:t>
            </w:r>
            <w:r>
              <w:rPr>
                <w:color w:val="000000"/>
              </w:rPr>
              <w:t xml:space="preserve"> tenant on a FFTT does not wish to accept an offer to surrender their FFTT so that a lifetime tenancy can be granted, then the </w:t>
            </w:r>
            <w:r w:rsidR="009A0A03">
              <w:rPr>
                <w:color w:val="000000"/>
              </w:rPr>
              <w:t>tenant will remain on their FFTT until it expires. Once the FFTT expires</w:t>
            </w:r>
            <w:r w:rsidR="00F74416">
              <w:rPr>
                <w:color w:val="000000"/>
              </w:rPr>
              <w:t>, their tenancy will automatically be rolled onto a lifetime tenancy</w:t>
            </w:r>
            <w:r w:rsidR="00A67BD2">
              <w:rPr>
                <w:color w:val="000000"/>
              </w:rPr>
              <w:t xml:space="preserve"> and the tenant will be notified of this in writing.</w:t>
            </w:r>
          </w:p>
          <w:p w14:paraId="37B261B0" w14:textId="77777777" w:rsidR="00FF3F86" w:rsidRDefault="00FF3F86" w:rsidP="00FF3F86">
            <w:pPr>
              <w:autoSpaceDE w:val="0"/>
              <w:autoSpaceDN w:val="0"/>
              <w:adjustRightInd w:val="0"/>
            </w:pPr>
          </w:p>
          <w:p w14:paraId="34403F63" w14:textId="2B49A187" w:rsidR="0023340D" w:rsidRDefault="00FF3F86" w:rsidP="00FF3F86">
            <w:r>
              <w:t xml:space="preserve">The Tenancy Policy has been updated to reflect our </w:t>
            </w:r>
            <w:r w:rsidR="00A67BD2">
              <w:t xml:space="preserve">approach in reverting existing tenants on FFTTs to lifetime tenancies, and the </w:t>
            </w:r>
            <w:r>
              <w:t xml:space="preserve">Tenancy and Rent Strategy has been updated </w:t>
            </w:r>
            <w:r w:rsidR="00A67BD2">
              <w:t xml:space="preserve">to encourage registered providers of social housing to revert </w:t>
            </w:r>
            <w:r w:rsidR="006D02B6">
              <w:t>their existing tenants on FFTTs to lifetime tenancies as per the approach outlined above.</w:t>
            </w:r>
          </w:p>
          <w:p w14:paraId="09E9A479" w14:textId="4B584F6A" w:rsidR="001D3816" w:rsidRPr="001D3816" w:rsidRDefault="001D3816" w:rsidP="00923171"/>
        </w:tc>
      </w:tr>
    </w:tbl>
    <w:p w14:paraId="4DACEFED" w14:textId="77777777" w:rsidR="00781C51" w:rsidRPr="00671557" w:rsidRDefault="00781C51" w:rsidP="00781C51">
      <w:pPr>
        <w:ind w:hanging="360"/>
        <w:rPr>
          <w:b/>
        </w:rPr>
      </w:pPr>
    </w:p>
    <w:p w14:paraId="7E7D380D" w14:textId="77777777" w:rsidR="00781C51" w:rsidRPr="00701123" w:rsidRDefault="00781C51" w:rsidP="00781C51">
      <w:pPr>
        <w:rPr>
          <w:vanish/>
        </w:rPr>
      </w:pPr>
    </w:p>
    <w:p w14:paraId="084331E7" w14:textId="77777777" w:rsidR="00C848B2" w:rsidRDefault="00C848B2"/>
    <w:sectPr w:rsidR="00C84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09C4" w14:textId="77777777" w:rsidR="00D94B82" w:rsidRDefault="00D94B82" w:rsidP="00781C51">
      <w:r>
        <w:separator/>
      </w:r>
    </w:p>
  </w:endnote>
  <w:endnote w:type="continuationSeparator" w:id="0">
    <w:p w14:paraId="1942C780" w14:textId="77777777" w:rsidR="00D94B82" w:rsidRDefault="00D94B82" w:rsidP="0078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5CF9" w14:textId="77777777" w:rsidR="00781C51" w:rsidRDefault="00781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32C3" w14:textId="77777777" w:rsidR="00781C51" w:rsidRDefault="00781C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9564" w14:textId="77777777" w:rsidR="00781C51" w:rsidRDefault="00781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640B" w14:textId="77777777" w:rsidR="00D94B82" w:rsidRDefault="00D94B82" w:rsidP="00781C51">
      <w:r>
        <w:separator/>
      </w:r>
    </w:p>
  </w:footnote>
  <w:footnote w:type="continuationSeparator" w:id="0">
    <w:p w14:paraId="4846DF40" w14:textId="77777777" w:rsidR="00D94B82" w:rsidRDefault="00D94B82" w:rsidP="0078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DD68" w14:textId="77777777" w:rsidR="00781C51" w:rsidRDefault="00781C5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676198" wp14:editId="0717CD6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395FFF" w14:textId="77777777" w:rsidR="00781C51" w:rsidRPr="00781C51" w:rsidRDefault="00781C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81C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761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3D395FFF" w14:textId="77777777" w:rsidR="00781C51" w:rsidRPr="00781C51" w:rsidRDefault="00781C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81C51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C5DA" w14:textId="77777777" w:rsidR="00781C51" w:rsidRDefault="00781C5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730AAD6" wp14:editId="61169E3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9C3C98" w14:textId="77777777" w:rsidR="00781C51" w:rsidRPr="00781C51" w:rsidRDefault="00781C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81C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30AA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5F9C3C98" w14:textId="77777777" w:rsidR="00781C51" w:rsidRPr="00781C51" w:rsidRDefault="00781C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81C51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8BA4" w14:textId="77777777" w:rsidR="00781C51" w:rsidRDefault="00781C5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BC0B950" wp14:editId="6B920C4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EDCDF1" w14:textId="77777777" w:rsidR="00781C51" w:rsidRPr="00781C51" w:rsidRDefault="00781C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81C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C0B9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dhbLpQ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5CEDCDF1" w14:textId="77777777" w:rsidR="00781C51" w:rsidRPr="00781C51" w:rsidRDefault="00781C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81C51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A8"/>
    <w:multiLevelType w:val="hybridMultilevel"/>
    <w:tmpl w:val="C896D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D6E6F"/>
    <w:multiLevelType w:val="hybridMultilevel"/>
    <w:tmpl w:val="E0DC13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6034"/>
    <w:multiLevelType w:val="hybridMultilevel"/>
    <w:tmpl w:val="D06C6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526D5"/>
    <w:multiLevelType w:val="hybridMultilevel"/>
    <w:tmpl w:val="C782776C"/>
    <w:lvl w:ilvl="0" w:tplc="8F30B68E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53E0"/>
    <w:multiLevelType w:val="hybridMultilevel"/>
    <w:tmpl w:val="10388DDE"/>
    <w:lvl w:ilvl="0" w:tplc="A4EEE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3CA2"/>
    <w:multiLevelType w:val="hybridMultilevel"/>
    <w:tmpl w:val="028879E4"/>
    <w:lvl w:ilvl="0" w:tplc="8F30B68E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40910"/>
    <w:multiLevelType w:val="hybridMultilevel"/>
    <w:tmpl w:val="9C469366"/>
    <w:lvl w:ilvl="0" w:tplc="4F968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34F06"/>
    <w:multiLevelType w:val="hybridMultilevel"/>
    <w:tmpl w:val="40520192"/>
    <w:lvl w:ilvl="0" w:tplc="F6EA32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66F24"/>
    <w:multiLevelType w:val="hybridMultilevel"/>
    <w:tmpl w:val="326CC7A0"/>
    <w:lvl w:ilvl="0" w:tplc="B7DAD3A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B7B7B"/>
    <w:multiLevelType w:val="hybridMultilevel"/>
    <w:tmpl w:val="210634FC"/>
    <w:lvl w:ilvl="0" w:tplc="CFE059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24E75"/>
    <w:multiLevelType w:val="hybridMultilevel"/>
    <w:tmpl w:val="6396E1A0"/>
    <w:lvl w:ilvl="0" w:tplc="B7DAD3A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36722"/>
    <w:multiLevelType w:val="hybridMultilevel"/>
    <w:tmpl w:val="8B4A2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974247">
    <w:abstractNumId w:val="11"/>
  </w:num>
  <w:num w:numId="2" w16cid:durableId="897592969">
    <w:abstractNumId w:val="0"/>
  </w:num>
  <w:num w:numId="3" w16cid:durableId="1950351829">
    <w:abstractNumId w:val="8"/>
  </w:num>
  <w:num w:numId="4" w16cid:durableId="1967469586">
    <w:abstractNumId w:val="10"/>
  </w:num>
  <w:num w:numId="5" w16cid:durableId="1198737400">
    <w:abstractNumId w:val="1"/>
  </w:num>
  <w:num w:numId="6" w16cid:durableId="899631623">
    <w:abstractNumId w:val="9"/>
  </w:num>
  <w:num w:numId="7" w16cid:durableId="633557250">
    <w:abstractNumId w:val="5"/>
  </w:num>
  <w:num w:numId="8" w16cid:durableId="24868755">
    <w:abstractNumId w:val="6"/>
  </w:num>
  <w:num w:numId="9" w16cid:durableId="427388827">
    <w:abstractNumId w:val="3"/>
  </w:num>
  <w:num w:numId="10" w16cid:durableId="1643998265">
    <w:abstractNumId w:val="2"/>
  </w:num>
  <w:num w:numId="11" w16cid:durableId="1956012947">
    <w:abstractNumId w:val="4"/>
  </w:num>
  <w:num w:numId="12" w16cid:durableId="14071499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51"/>
    <w:rsid w:val="000140CF"/>
    <w:rsid w:val="00017CAC"/>
    <w:rsid w:val="00024FC0"/>
    <w:rsid w:val="0004476F"/>
    <w:rsid w:val="00047862"/>
    <w:rsid w:val="0005491A"/>
    <w:rsid w:val="0006415A"/>
    <w:rsid w:val="00075DD0"/>
    <w:rsid w:val="000805DD"/>
    <w:rsid w:val="00093B7A"/>
    <w:rsid w:val="000A163F"/>
    <w:rsid w:val="000A6D23"/>
    <w:rsid w:val="000B602C"/>
    <w:rsid w:val="000C31DC"/>
    <w:rsid w:val="000C3B43"/>
    <w:rsid w:val="000C6DC5"/>
    <w:rsid w:val="000D2EA8"/>
    <w:rsid w:val="000E4351"/>
    <w:rsid w:val="000F4B16"/>
    <w:rsid w:val="0010144F"/>
    <w:rsid w:val="001178FA"/>
    <w:rsid w:val="00120DB2"/>
    <w:rsid w:val="00125F04"/>
    <w:rsid w:val="00130A79"/>
    <w:rsid w:val="001376F8"/>
    <w:rsid w:val="00163E8A"/>
    <w:rsid w:val="0017474B"/>
    <w:rsid w:val="00187E07"/>
    <w:rsid w:val="001A6A6D"/>
    <w:rsid w:val="001C4093"/>
    <w:rsid w:val="001C4897"/>
    <w:rsid w:val="001C7F45"/>
    <w:rsid w:val="001D3816"/>
    <w:rsid w:val="001D5E46"/>
    <w:rsid w:val="001F2435"/>
    <w:rsid w:val="001F2BAE"/>
    <w:rsid w:val="00200ED3"/>
    <w:rsid w:val="00202104"/>
    <w:rsid w:val="002037A0"/>
    <w:rsid w:val="002107C5"/>
    <w:rsid w:val="00224EEA"/>
    <w:rsid w:val="00225BA3"/>
    <w:rsid w:val="00231D40"/>
    <w:rsid w:val="002328D7"/>
    <w:rsid w:val="0023340D"/>
    <w:rsid w:val="002415AE"/>
    <w:rsid w:val="002424C2"/>
    <w:rsid w:val="00243C69"/>
    <w:rsid w:val="0024653C"/>
    <w:rsid w:val="00247A79"/>
    <w:rsid w:val="0026484B"/>
    <w:rsid w:val="0027423C"/>
    <w:rsid w:val="00274322"/>
    <w:rsid w:val="0028043A"/>
    <w:rsid w:val="0028072E"/>
    <w:rsid w:val="002939A3"/>
    <w:rsid w:val="002A5C43"/>
    <w:rsid w:val="002B1172"/>
    <w:rsid w:val="002B7B63"/>
    <w:rsid w:val="002C7E85"/>
    <w:rsid w:val="002D0E25"/>
    <w:rsid w:val="002D6DD5"/>
    <w:rsid w:val="002F1084"/>
    <w:rsid w:val="003017E3"/>
    <w:rsid w:val="00310227"/>
    <w:rsid w:val="003246F4"/>
    <w:rsid w:val="003375C7"/>
    <w:rsid w:val="0037379C"/>
    <w:rsid w:val="00373E38"/>
    <w:rsid w:val="003871C5"/>
    <w:rsid w:val="0039673A"/>
    <w:rsid w:val="003A20ED"/>
    <w:rsid w:val="003D3810"/>
    <w:rsid w:val="003E09BF"/>
    <w:rsid w:val="003E4DD2"/>
    <w:rsid w:val="003F44E0"/>
    <w:rsid w:val="00403AA3"/>
    <w:rsid w:val="00404B94"/>
    <w:rsid w:val="00406457"/>
    <w:rsid w:val="00416772"/>
    <w:rsid w:val="00420609"/>
    <w:rsid w:val="004226BD"/>
    <w:rsid w:val="0043337E"/>
    <w:rsid w:val="00450477"/>
    <w:rsid w:val="004507E0"/>
    <w:rsid w:val="00456317"/>
    <w:rsid w:val="00462648"/>
    <w:rsid w:val="00467928"/>
    <w:rsid w:val="00471A72"/>
    <w:rsid w:val="00472F84"/>
    <w:rsid w:val="00476865"/>
    <w:rsid w:val="004A3098"/>
    <w:rsid w:val="004A47E6"/>
    <w:rsid w:val="004A58A8"/>
    <w:rsid w:val="004B60D4"/>
    <w:rsid w:val="004C116F"/>
    <w:rsid w:val="004D4954"/>
    <w:rsid w:val="004D53CA"/>
    <w:rsid w:val="0051605F"/>
    <w:rsid w:val="005337A6"/>
    <w:rsid w:val="00547B17"/>
    <w:rsid w:val="00573AEA"/>
    <w:rsid w:val="005A41AD"/>
    <w:rsid w:val="005A7366"/>
    <w:rsid w:val="005B0A1E"/>
    <w:rsid w:val="005B14DA"/>
    <w:rsid w:val="005C4B9D"/>
    <w:rsid w:val="00601203"/>
    <w:rsid w:val="00640AA2"/>
    <w:rsid w:val="00650FA3"/>
    <w:rsid w:val="0066752A"/>
    <w:rsid w:val="00675638"/>
    <w:rsid w:val="00684D6B"/>
    <w:rsid w:val="00690921"/>
    <w:rsid w:val="006965F9"/>
    <w:rsid w:val="00697891"/>
    <w:rsid w:val="006C1DE5"/>
    <w:rsid w:val="006C6631"/>
    <w:rsid w:val="006C6AF2"/>
    <w:rsid w:val="006D02B6"/>
    <w:rsid w:val="006D7CC4"/>
    <w:rsid w:val="006E2D09"/>
    <w:rsid w:val="006F7F5A"/>
    <w:rsid w:val="00707502"/>
    <w:rsid w:val="00732279"/>
    <w:rsid w:val="00732562"/>
    <w:rsid w:val="0074750B"/>
    <w:rsid w:val="007540BB"/>
    <w:rsid w:val="00770169"/>
    <w:rsid w:val="00774CDA"/>
    <w:rsid w:val="00777096"/>
    <w:rsid w:val="007806FE"/>
    <w:rsid w:val="00781C51"/>
    <w:rsid w:val="00782231"/>
    <w:rsid w:val="0078409F"/>
    <w:rsid w:val="00790C08"/>
    <w:rsid w:val="007927F4"/>
    <w:rsid w:val="00792A03"/>
    <w:rsid w:val="00793821"/>
    <w:rsid w:val="007959F4"/>
    <w:rsid w:val="007A7884"/>
    <w:rsid w:val="007B3DAE"/>
    <w:rsid w:val="007F4811"/>
    <w:rsid w:val="00820FC3"/>
    <w:rsid w:val="00831136"/>
    <w:rsid w:val="00842684"/>
    <w:rsid w:val="00853225"/>
    <w:rsid w:val="0085488A"/>
    <w:rsid w:val="00861E38"/>
    <w:rsid w:val="00863073"/>
    <w:rsid w:val="00871378"/>
    <w:rsid w:val="00885ED8"/>
    <w:rsid w:val="008A23B3"/>
    <w:rsid w:val="008C63EA"/>
    <w:rsid w:val="008D0E91"/>
    <w:rsid w:val="008E17EA"/>
    <w:rsid w:val="008F20F3"/>
    <w:rsid w:val="00910A43"/>
    <w:rsid w:val="0091259C"/>
    <w:rsid w:val="00921C51"/>
    <w:rsid w:val="00924691"/>
    <w:rsid w:val="00934F7F"/>
    <w:rsid w:val="00952BF8"/>
    <w:rsid w:val="0097440D"/>
    <w:rsid w:val="00977E09"/>
    <w:rsid w:val="009A0A03"/>
    <w:rsid w:val="009C5208"/>
    <w:rsid w:val="009E1C1E"/>
    <w:rsid w:val="009E7F1A"/>
    <w:rsid w:val="009F1E5F"/>
    <w:rsid w:val="009F7E51"/>
    <w:rsid w:val="00A02710"/>
    <w:rsid w:val="00A0461F"/>
    <w:rsid w:val="00A34D75"/>
    <w:rsid w:val="00A3530C"/>
    <w:rsid w:val="00A50FA2"/>
    <w:rsid w:val="00A62D13"/>
    <w:rsid w:val="00A67BD2"/>
    <w:rsid w:val="00A716BC"/>
    <w:rsid w:val="00A81E64"/>
    <w:rsid w:val="00A8246C"/>
    <w:rsid w:val="00A861D7"/>
    <w:rsid w:val="00A94B1C"/>
    <w:rsid w:val="00AA3B84"/>
    <w:rsid w:val="00AB0FBC"/>
    <w:rsid w:val="00AC1327"/>
    <w:rsid w:val="00AC4F19"/>
    <w:rsid w:val="00AC7B60"/>
    <w:rsid w:val="00AE4317"/>
    <w:rsid w:val="00AF1D9A"/>
    <w:rsid w:val="00B00054"/>
    <w:rsid w:val="00B020E2"/>
    <w:rsid w:val="00B03C9B"/>
    <w:rsid w:val="00B20C45"/>
    <w:rsid w:val="00B2233B"/>
    <w:rsid w:val="00B42FB0"/>
    <w:rsid w:val="00B47B04"/>
    <w:rsid w:val="00B52282"/>
    <w:rsid w:val="00B53158"/>
    <w:rsid w:val="00B53555"/>
    <w:rsid w:val="00B87BB9"/>
    <w:rsid w:val="00B9053B"/>
    <w:rsid w:val="00B9331F"/>
    <w:rsid w:val="00B97267"/>
    <w:rsid w:val="00BA6C8E"/>
    <w:rsid w:val="00BB1B57"/>
    <w:rsid w:val="00BC3FBC"/>
    <w:rsid w:val="00BD135C"/>
    <w:rsid w:val="00BD2FFA"/>
    <w:rsid w:val="00BD551F"/>
    <w:rsid w:val="00BD6934"/>
    <w:rsid w:val="00BE094D"/>
    <w:rsid w:val="00C060E4"/>
    <w:rsid w:val="00C07937"/>
    <w:rsid w:val="00C175C2"/>
    <w:rsid w:val="00C17979"/>
    <w:rsid w:val="00C22405"/>
    <w:rsid w:val="00C30B91"/>
    <w:rsid w:val="00C359F3"/>
    <w:rsid w:val="00C61886"/>
    <w:rsid w:val="00C6681C"/>
    <w:rsid w:val="00C70F5E"/>
    <w:rsid w:val="00C71EF9"/>
    <w:rsid w:val="00C77DB4"/>
    <w:rsid w:val="00C806D4"/>
    <w:rsid w:val="00C848B2"/>
    <w:rsid w:val="00C87EB4"/>
    <w:rsid w:val="00C94D1A"/>
    <w:rsid w:val="00C95B6F"/>
    <w:rsid w:val="00CA4231"/>
    <w:rsid w:val="00CA4D91"/>
    <w:rsid w:val="00CC2899"/>
    <w:rsid w:val="00CC3BF8"/>
    <w:rsid w:val="00CC79A7"/>
    <w:rsid w:val="00CD5B86"/>
    <w:rsid w:val="00CD76E5"/>
    <w:rsid w:val="00CF6ECD"/>
    <w:rsid w:val="00D01994"/>
    <w:rsid w:val="00D03ABF"/>
    <w:rsid w:val="00D04EC8"/>
    <w:rsid w:val="00D0528E"/>
    <w:rsid w:val="00D12E5C"/>
    <w:rsid w:val="00D14BEE"/>
    <w:rsid w:val="00D15526"/>
    <w:rsid w:val="00D22DE5"/>
    <w:rsid w:val="00D648E1"/>
    <w:rsid w:val="00D64C81"/>
    <w:rsid w:val="00D94B82"/>
    <w:rsid w:val="00DB0D2E"/>
    <w:rsid w:val="00DB23DE"/>
    <w:rsid w:val="00DE2AF7"/>
    <w:rsid w:val="00DE7459"/>
    <w:rsid w:val="00DF3467"/>
    <w:rsid w:val="00E11B50"/>
    <w:rsid w:val="00E11EFD"/>
    <w:rsid w:val="00E14482"/>
    <w:rsid w:val="00E257F3"/>
    <w:rsid w:val="00E31D45"/>
    <w:rsid w:val="00E41DF9"/>
    <w:rsid w:val="00E43E54"/>
    <w:rsid w:val="00E45146"/>
    <w:rsid w:val="00E5399D"/>
    <w:rsid w:val="00E62B14"/>
    <w:rsid w:val="00E67C56"/>
    <w:rsid w:val="00E735C8"/>
    <w:rsid w:val="00E76E6A"/>
    <w:rsid w:val="00EA1D99"/>
    <w:rsid w:val="00EB025F"/>
    <w:rsid w:val="00EB5F89"/>
    <w:rsid w:val="00EC4267"/>
    <w:rsid w:val="00ED3FA1"/>
    <w:rsid w:val="00ED742C"/>
    <w:rsid w:val="00EE1B9D"/>
    <w:rsid w:val="00EE5AFB"/>
    <w:rsid w:val="00EF0DAE"/>
    <w:rsid w:val="00EF18E4"/>
    <w:rsid w:val="00F04F8C"/>
    <w:rsid w:val="00F11970"/>
    <w:rsid w:val="00F25FAF"/>
    <w:rsid w:val="00F30992"/>
    <w:rsid w:val="00F37017"/>
    <w:rsid w:val="00F51F40"/>
    <w:rsid w:val="00F52163"/>
    <w:rsid w:val="00F67DD4"/>
    <w:rsid w:val="00F72155"/>
    <w:rsid w:val="00F72831"/>
    <w:rsid w:val="00F74416"/>
    <w:rsid w:val="00F80052"/>
    <w:rsid w:val="00F9113F"/>
    <w:rsid w:val="00F9120F"/>
    <w:rsid w:val="00F96F94"/>
    <w:rsid w:val="00FA562E"/>
    <w:rsid w:val="00FB2577"/>
    <w:rsid w:val="00FB5D6C"/>
    <w:rsid w:val="00FB6A49"/>
    <w:rsid w:val="00FD1401"/>
    <w:rsid w:val="00FD469A"/>
    <w:rsid w:val="00FE301D"/>
    <w:rsid w:val="00FE4A48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F7D8"/>
  <w15:chartTrackingRefBased/>
  <w15:docId w15:val="{FDD4A68C-09EF-45CF-B287-AA9319C9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5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81C51"/>
  </w:style>
  <w:style w:type="paragraph" w:styleId="Footer">
    <w:name w:val="footer"/>
    <w:basedOn w:val="Normal"/>
    <w:link w:val="FooterChar"/>
    <w:unhideWhenUsed/>
    <w:rsid w:val="00781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81C51"/>
  </w:style>
  <w:style w:type="paragraph" w:styleId="BodyText">
    <w:name w:val="Body Text"/>
    <w:basedOn w:val="Normal"/>
    <w:link w:val="BodyTextChar"/>
    <w:rsid w:val="00781C51"/>
    <w:rPr>
      <w:sz w:val="24"/>
    </w:rPr>
  </w:style>
  <w:style w:type="character" w:customStyle="1" w:styleId="BodyTextChar">
    <w:name w:val="Body Text Char"/>
    <w:basedOn w:val="DefaultParagraphFont"/>
    <w:link w:val="BodyText"/>
    <w:rsid w:val="00781C51"/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781C51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781C51"/>
    <w:rPr>
      <w:rFonts w:ascii="Courier" w:eastAsia="Cambria" w:hAnsi="Courier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81C51"/>
    <w:rPr>
      <w:rFonts w:ascii="Courier" w:eastAsia="Cambria" w:hAnsi="Courier" w:cs="Times New Roman"/>
      <w:sz w:val="21"/>
      <w:szCs w:val="21"/>
    </w:rPr>
  </w:style>
  <w:style w:type="character" w:styleId="Hyperlink">
    <w:name w:val="Hyperlink"/>
    <w:basedOn w:val="DefaultParagraphFont"/>
    <w:rsid w:val="00781C51"/>
    <w:rPr>
      <w:color w:val="0563C1" w:themeColor="hyperlink"/>
      <w:u w:val="single"/>
    </w:rPr>
  </w:style>
  <w:style w:type="paragraph" w:styleId="Date">
    <w:name w:val="Date"/>
    <w:basedOn w:val="Normal"/>
    <w:link w:val="DateChar"/>
    <w:rsid w:val="00781C51"/>
    <w:pPr>
      <w:widowControl w:val="0"/>
      <w:tabs>
        <w:tab w:val="left" w:pos="1134"/>
        <w:tab w:val="left" w:pos="1701"/>
        <w:tab w:val="left" w:pos="2268"/>
        <w:tab w:val="right" w:pos="9072"/>
      </w:tabs>
      <w:spacing w:line="360" w:lineRule="auto"/>
      <w:jc w:val="both"/>
    </w:pPr>
    <w:rPr>
      <w:rFonts w:ascii="Times New Roman" w:hAnsi="Times New Roman" w:cs="Times New Roman"/>
      <w:noProof/>
      <w:snapToGrid w:val="0"/>
      <w:sz w:val="24"/>
    </w:rPr>
  </w:style>
  <w:style w:type="character" w:customStyle="1" w:styleId="DateChar">
    <w:name w:val="Date Char"/>
    <w:basedOn w:val="DefaultParagraphFont"/>
    <w:link w:val="Date"/>
    <w:rsid w:val="00781C51"/>
    <w:rPr>
      <w:rFonts w:ascii="Times New Roman" w:eastAsia="Times New Roman" w:hAnsi="Times New Roman" w:cs="Times New Roman"/>
      <w:noProof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3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3E54"/>
  </w:style>
  <w:style w:type="character" w:customStyle="1" w:styleId="CommentTextChar">
    <w:name w:val="Comment Text Char"/>
    <w:basedOn w:val="DefaultParagraphFont"/>
    <w:link w:val="CommentText"/>
    <w:uiPriority w:val="99"/>
    <w:rsid w:val="00E43E54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E54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199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6F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4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1003</Words>
  <Characters>5723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Alex</dc:creator>
  <cp:keywords/>
  <dc:description/>
  <cp:lastModifiedBy>Pierce, Catherine</cp:lastModifiedBy>
  <cp:revision>2</cp:revision>
  <dcterms:created xsi:type="dcterms:W3CDTF">2022-09-27T13:32:00Z</dcterms:created>
  <dcterms:modified xsi:type="dcterms:W3CDTF">2022-09-27T13:32:00Z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</Properties>
</file>