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7EB43" w14:textId="77777777" w:rsidR="00AA6C81" w:rsidRDefault="00097418" w:rsidP="00097418">
      <w:pPr>
        <w:jc w:val="center"/>
        <w:rPr>
          <w:b/>
          <w:sz w:val="40"/>
          <w:szCs w:val="40"/>
          <w:lang w:val="en-GB"/>
        </w:rPr>
      </w:pPr>
      <w:bookmarkStart w:id="0" w:name="_GoBack"/>
      <w:bookmarkEnd w:id="0"/>
      <w:r w:rsidRPr="00097418">
        <w:rPr>
          <w:b/>
          <w:sz w:val="40"/>
          <w:szCs w:val="40"/>
          <w:lang w:val="en-GB"/>
        </w:rPr>
        <w:t>SSA EQUALITY IMPACT AND NEEDS ANALYSIS</w:t>
      </w:r>
    </w:p>
    <w:p w14:paraId="2659371E" w14:textId="77777777" w:rsidR="00097418" w:rsidRDefault="00097418" w:rsidP="00097418">
      <w:pPr>
        <w:jc w:val="center"/>
        <w:rPr>
          <w:b/>
          <w:sz w:val="40"/>
          <w:szCs w:val="40"/>
          <w:lang w:val="en-GB"/>
        </w:rPr>
      </w:pPr>
    </w:p>
    <w:tbl>
      <w:tblPr>
        <w:tblStyle w:val="TableGrid"/>
        <w:tblW w:w="0" w:type="auto"/>
        <w:tblLook w:val="04A0" w:firstRow="1" w:lastRow="0" w:firstColumn="1" w:lastColumn="0" w:noHBand="0" w:noVBand="1"/>
      </w:tblPr>
      <w:tblGrid>
        <w:gridCol w:w="4505"/>
        <w:gridCol w:w="4505"/>
      </w:tblGrid>
      <w:tr w:rsidR="00097418" w14:paraId="46530ADA" w14:textId="77777777" w:rsidTr="00097418">
        <w:tc>
          <w:tcPr>
            <w:tcW w:w="4505" w:type="dxa"/>
          </w:tcPr>
          <w:p w14:paraId="47A44234" w14:textId="77777777" w:rsidR="00097418" w:rsidRDefault="00097418" w:rsidP="00097418">
            <w:pPr>
              <w:rPr>
                <w:b/>
                <w:lang w:val="en-GB"/>
              </w:rPr>
            </w:pPr>
            <w:r>
              <w:rPr>
                <w:b/>
                <w:lang w:val="en-GB"/>
              </w:rPr>
              <w:t>Directorate</w:t>
            </w:r>
          </w:p>
        </w:tc>
        <w:tc>
          <w:tcPr>
            <w:tcW w:w="4505" w:type="dxa"/>
          </w:tcPr>
          <w:p w14:paraId="038CA999" w14:textId="77777777" w:rsidR="00097418" w:rsidRDefault="00AA6C81" w:rsidP="00097418">
            <w:pPr>
              <w:jc w:val="center"/>
              <w:rPr>
                <w:b/>
                <w:lang w:val="en-GB"/>
              </w:rPr>
            </w:pPr>
            <w:r>
              <w:rPr>
                <w:b/>
                <w:lang w:val="en-GB"/>
              </w:rPr>
              <w:t>Resources</w:t>
            </w:r>
          </w:p>
        </w:tc>
      </w:tr>
      <w:tr w:rsidR="00097418" w14:paraId="17F91EF3" w14:textId="77777777" w:rsidTr="00097418">
        <w:tc>
          <w:tcPr>
            <w:tcW w:w="4505" w:type="dxa"/>
          </w:tcPr>
          <w:p w14:paraId="7AD436D7" w14:textId="77777777" w:rsidR="00097418" w:rsidRDefault="00097418" w:rsidP="00097418">
            <w:pPr>
              <w:rPr>
                <w:b/>
                <w:lang w:val="en-GB"/>
              </w:rPr>
            </w:pPr>
            <w:r>
              <w:rPr>
                <w:b/>
                <w:lang w:val="en-GB"/>
              </w:rPr>
              <w:t>Service Area</w:t>
            </w:r>
          </w:p>
        </w:tc>
        <w:tc>
          <w:tcPr>
            <w:tcW w:w="4505" w:type="dxa"/>
          </w:tcPr>
          <w:p w14:paraId="3A48DAA7" w14:textId="77777777" w:rsidR="00097418" w:rsidRDefault="00AA6C81" w:rsidP="00097418">
            <w:pPr>
              <w:jc w:val="center"/>
              <w:rPr>
                <w:b/>
                <w:lang w:val="en-GB"/>
              </w:rPr>
            </w:pPr>
            <w:r>
              <w:rPr>
                <w:b/>
                <w:lang w:val="en-GB"/>
              </w:rPr>
              <w:t>Revenues &amp; Benefits</w:t>
            </w:r>
          </w:p>
        </w:tc>
      </w:tr>
      <w:tr w:rsidR="00097418" w14:paraId="612229CC" w14:textId="77777777" w:rsidTr="00097418">
        <w:tc>
          <w:tcPr>
            <w:tcW w:w="4505" w:type="dxa"/>
          </w:tcPr>
          <w:p w14:paraId="4B25016E" w14:textId="77777777" w:rsidR="00097418" w:rsidRDefault="00097418" w:rsidP="00097418">
            <w:pPr>
              <w:rPr>
                <w:b/>
                <w:lang w:val="en-GB"/>
              </w:rPr>
            </w:pPr>
            <w:r>
              <w:rPr>
                <w:b/>
                <w:lang w:val="en-GB"/>
              </w:rPr>
              <w:t>Service/policy/function being assessed</w:t>
            </w:r>
          </w:p>
        </w:tc>
        <w:tc>
          <w:tcPr>
            <w:tcW w:w="4505" w:type="dxa"/>
          </w:tcPr>
          <w:p w14:paraId="65B4B8CB" w14:textId="77777777" w:rsidR="00097418" w:rsidRDefault="00AA6C81" w:rsidP="00097418">
            <w:pPr>
              <w:jc w:val="center"/>
              <w:rPr>
                <w:b/>
                <w:lang w:val="en-GB"/>
              </w:rPr>
            </w:pPr>
            <w:r>
              <w:rPr>
                <w:b/>
                <w:lang w:val="en-GB"/>
              </w:rPr>
              <w:t>Council Tax Reduction Scheme</w:t>
            </w:r>
          </w:p>
        </w:tc>
      </w:tr>
      <w:tr w:rsidR="00825398" w14:paraId="672E1094" w14:textId="77777777" w:rsidTr="00097418">
        <w:tc>
          <w:tcPr>
            <w:tcW w:w="4505" w:type="dxa"/>
          </w:tcPr>
          <w:p w14:paraId="76AA6015" w14:textId="77777777" w:rsidR="00825398" w:rsidRDefault="00825398" w:rsidP="00097418">
            <w:pPr>
              <w:rPr>
                <w:b/>
                <w:lang w:val="en-GB"/>
              </w:rPr>
            </w:pPr>
            <w:r>
              <w:rPr>
                <w:b/>
                <w:lang w:val="en-GB"/>
              </w:rPr>
              <w:t>Which borough (s) does the service/policy apply to</w:t>
            </w:r>
          </w:p>
        </w:tc>
        <w:tc>
          <w:tcPr>
            <w:tcW w:w="4505" w:type="dxa"/>
          </w:tcPr>
          <w:p w14:paraId="0134F1D4" w14:textId="77777777" w:rsidR="00825398" w:rsidRDefault="00AA6C81" w:rsidP="00825398">
            <w:pPr>
              <w:rPr>
                <w:b/>
                <w:lang w:val="en-GB"/>
              </w:rPr>
            </w:pPr>
            <w:r>
              <w:rPr>
                <w:lang w:val="en-GB"/>
              </w:rPr>
              <w:t>Richmond</w:t>
            </w:r>
          </w:p>
        </w:tc>
      </w:tr>
      <w:tr w:rsidR="00097418" w14:paraId="270DF16F" w14:textId="77777777" w:rsidTr="00BF6A6C">
        <w:trPr>
          <w:trHeight w:val="338"/>
        </w:trPr>
        <w:tc>
          <w:tcPr>
            <w:tcW w:w="4505" w:type="dxa"/>
          </w:tcPr>
          <w:p w14:paraId="6D3EF14E" w14:textId="77777777" w:rsidR="00097418" w:rsidRDefault="00097418" w:rsidP="00097418">
            <w:pPr>
              <w:rPr>
                <w:b/>
                <w:lang w:val="en-GB"/>
              </w:rPr>
            </w:pPr>
            <w:r>
              <w:rPr>
                <w:b/>
                <w:lang w:val="en-GB"/>
              </w:rPr>
              <w:t>Staff involved</w:t>
            </w:r>
          </w:p>
        </w:tc>
        <w:tc>
          <w:tcPr>
            <w:tcW w:w="4505" w:type="dxa"/>
          </w:tcPr>
          <w:p w14:paraId="22BC2616" w14:textId="77777777" w:rsidR="00097418" w:rsidRDefault="00AA6C81" w:rsidP="00097418">
            <w:pPr>
              <w:jc w:val="center"/>
              <w:rPr>
                <w:b/>
                <w:lang w:val="en-GB"/>
              </w:rPr>
            </w:pPr>
            <w:r>
              <w:rPr>
                <w:b/>
                <w:lang w:val="en-GB"/>
              </w:rPr>
              <w:t>Graham Russell, Aveen Kelly</w:t>
            </w:r>
          </w:p>
        </w:tc>
      </w:tr>
      <w:tr w:rsidR="00097418" w14:paraId="01DE4B58" w14:textId="77777777" w:rsidTr="006F44AD">
        <w:trPr>
          <w:trHeight w:val="618"/>
        </w:trPr>
        <w:tc>
          <w:tcPr>
            <w:tcW w:w="4505" w:type="dxa"/>
          </w:tcPr>
          <w:p w14:paraId="28D826C9" w14:textId="77777777" w:rsidR="00097418" w:rsidRDefault="00097418" w:rsidP="00097418">
            <w:pPr>
              <w:rPr>
                <w:b/>
                <w:lang w:val="en-GB"/>
              </w:rPr>
            </w:pPr>
            <w:r>
              <w:rPr>
                <w:b/>
                <w:lang w:val="en-GB"/>
              </w:rPr>
              <w:t>Date approved by Policy and Review Manager</w:t>
            </w:r>
          </w:p>
          <w:p w14:paraId="0754C032" w14:textId="77777777" w:rsidR="00472D5D" w:rsidRDefault="00472D5D" w:rsidP="00097418">
            <w:pPr>
              <w:rPr>
                <w:b/>
                <w:lang w:val="en-GB"/>
              </w:rPr>
            </w:pPr>
            <w:r w:rsidRPr="00BF6A6C">
              <w:rPr>
                <w:lang w:val="en-GB"/>
              </w:rPr>
              <w:t>All EINAs must be signed off by the Policy and Review Manager</w:t>
            </w:r>
          </w:p>
        </w:tc>
        <w:tc>
          <w:tcPr>
            <w:tcW w:w="4505" w:type="dxa"/>
          </w:tcPr>
          <w:p w14:paraId="595DE31A" w14:textId="77777777" w:rsidR="00097418" w:rsidRPr="00BF6A6C" w:rsidRDefault="00835138" w:rsidP="00BF6A6C">
            <w:pPr>
              <w:rPr>
                <w:lang w:val="en-GB"/>
              </w:rPr>
            </w:pPr>
            <w:r>
              <w:rPr>
                <w:lang w:val="en-GB"/>
              </w:rPr>
              <w:t>31/08/18</w:t>
            </w:r>
          </w:p>
        </w:tc>
      </w:tr>
    </w:tbl>
    <w:p w14:paraId="1E34DE48" w14:textId="77777777" w:rsidR="00097418" w:rsidRDefault="00097418" w:rsidP="00097418">
      <w:pPr>
        <w:rPr>
          <w:b/>
          <w:lang w:val="en-GB"/>
        </w:rPr>
      </w:pPr>
    </w:p>
    <w:p w14:paraId="6D403FBA" w14:textId="77777777" w:rsidR="00097418" w:rsidRDefault="00097418" w:rsidP="00097418">
      <w:pPr>
        <w:rPr>
          <w:b/>
          <w:lang w:val="en-GB"/>
        </w:rPr>
      </w:pPr>
      <w:r>
        <w:rPr>
          <w:b/>
          <w:lang w:val="en-GB"/>
        </w:rPr>
        <w:t>SUMMARY</w:t>
      </w:r>
    </w:p>
    <w:p w14:paraId="54D9BF06" w14:textId="77777777" w:rsidR="00097418" w:rsidRDefault="00097418" w:rsidP="00097418">
      <w:pPr>
        <w:rPr>
          <w:b/>
          <w:lang w:val="en-GB"/>
        </w:rPr>
      </w:pPr>
    </w:p>
    <w:tbl>
      <w:tblPr>
        <w:tblStyle w:val="TableGrid"/>
        <w:tblW w:w="0" w:type="auto"/>
        <w:tblLook w:val="04A0" w:firstRow="1" w:lastRow="0" w:firstColumn="1" w:lastColumn="0" w:noHBand="0" w:noVBand="1"/>
      </w:tblPr>
      <w:tblGrid>
        <w:gridCol w:w="9010"/>
      </w:tblGrid>
      <w:tr w:rsidR="00097418" w14:paraId="6DED3BA5" w14:textId="77777777" w:rsidTr="00097418">
        <w:tc>
          <w:tcPr>
            <w:tcW w:w="9010" w:type="dxa"/>
          </w:tcPr>
          <w:p w14:paraId="40823E25" w14:textId="77777777" w:rsidR="00097418" w:rsidRDefault="00097418" w:rsidP="00097418">
            <w:pPr>
              <w:rPr>
                <w:b/>
                <w:lang w:val="en-GB"/>
              </w:rPr>
            </w:pPr>
            <w:r>
              <w:rPr>
                <w:b/>
                <w:lang w:val="en-GB"/>
              </w:rPr>
              <w:t xml:space="preserve">Please summarise the key findings of the EINA. </w:t>
            </w:r>
          </w:p>
          <w:p w14:paraId="5F96D9AC" w14:textId="77777777" w:rsidR="00AA6C81" w:rsidRDefault="00AA6C81" w:rsidP="00AA6C81">
            <w:pPr>
              <w:jc w:val="both"/>
              <w:rPr>
                <w:rFonts w:ascii="Arial" w:hAnsi="Arial"/>
                <w:color w:val="000000" w:themeColor="text1"/>
                <w:sz w:val="22"/>
              </w:rPr>
            </w:pPr>
          </w:p>
          <w:p w14:paraId="39297938" w14:textId="77777777" w:rsidR="00AA6C81" w:rsidRDefault="00AA6C81" w:rsidP="00AA6C81">
            <w:pPr>
              <w:jc w:val="both"/>
              <w:rPr>
                <w:rFonts w:ascii="Arial" w:hAnsi="Arial"/>
                <w:color w:val="000000" w:themeColor="text1"/>
                <w:sz w:val="22"/>
              </w:rPr>
            </w:pPr>
            <w:r>
              <w:rPr>
                <w:rFonts w:ascii="Arial" w:hAnsi="Arial"/>
                <w:color w:val="000000" w:themeColor="text1"/>
                <w:sz w:val="22"/>
              </w:rPr>
              <w:t>The proposed change to the scheme will increase the amount of CTR which non-vulnerable working age applicants will receive with effect from 1</w:t>
            </w:r>
            <w:r w:rsidRPr="00414795">
              <w:rPr>
                <w:rFonts w:ascii="Arial" w:hAnsi="Arial"/>
                <w:color w:val="000000" w:themeColor="text1"/>
                <w:sz w:val="22"/>
                <w:vertAlign w:val="superscript"/>
              </w:rPr>
              <w:t>st</w:t>
            </w:r>
            <w:r>
              <w:rPr>
                <w:rFonts w:ascii="Arial" w:hAnsi="Arial"/>
                <w:color w:val="000000" w:themeColor="text1"/>
                <w:sz w:val="22"/>
              </w:rPr>
              <w:t xml:space="preserve"> April 2019.</w:t>
            </w:r>
          </w:p>
          <w:p w14:paraId="071C3C1A" w14:textId="77777777" w:rsidR="00AA6C81" w:rsidRDefault="00AA6C81" w:rsidP="00AA6C81">
            <w:pPr>
              <w:jc w:val="both"/>
              <w:rPr>
                <w:rFonts w:ascii="Arial" w:hAnsi="Arial"/>
                <w:sz w:val="22"/>
              </w:rPr>
            </w:pPr>
          </w:p>
          <w:p w14:paraId="613A745B" w14:textId="77777777" w:rsidR="00AA6C81" w:rsidRDefault="00AA6C81" w:rsidP="00AA6C81">
            <w:pPr>
              <w:jc w:val="both"/>
              <w:rPr>
                <w:rFonts w:ascii="Arial" w:hAnsi="Arial"/>
                <w:sz w:val="22"/>
              </w:rPr>
            </w:pPr>
            <w:r>
              <w:rPr>
                <w:rFonts w:ascii="Arial" w:hAnsi="Arial"/>
                <w:sz w:val="22"/>
              </w:rPr>
              <w:t>Previous EINAs identified that when the 95% and 85% limits were introduced, they disproportionately affected women and families with children.  The proposed change reverses these impacts</w:t>
            </w:r>
            <w:r w:rsidR="00AA3593">
              <w:rPr>
                <w:rFonts w:ascii="Arial" w:hAnsi="Arial"/>
                <w:sz w:val="22"/>
              </w:rPr>
              <w:t>.</w:t>
            </w:r>
          </w:p>
          <w:p w14:paraId="1A8EA8C5" w14:textId="77777777" w:rsidR="006F44AD" w:rsidRPr="00825398" w:rsidRDefault="006F44AD" w:rsidP="00AA6C81">
            <w:pPr>
              <w:pStyle w:val="ListParagraph"/>
              <w:rPr>
                <w:b/>
                <w:lang w:val="en-GB"/>
              </w:rPr>
            </w:pPr>
          </w:p>
        </w:tc>
      </w:tr>
    </w:tbl>
    <w:p w14:paraId="41161DFB" w14:textId="77777777" w:rsidR="00097418" w:rsidRDefault="00097418" w:rsidP="00097418">
      <w:pPr>
        <w:rPr>
          <w:b/>
          <w:lang w:val="en-GB"/>
        </w:rPr>
      </w:pPr>
    </w:p>
    <w:p w14:paraId="0888F589" w14:textId="77777777" w:rsidR="00825398" w:rsidRPr="00BE2FE6" w:rsidRDefault="00825398" w:rsidP="00BE2FE6">
      <w:pPr>
        <w:pStyle w:val="ListParagraph"/>
        <w:numPr>
          <w:ilvl w:val="0"/>
          <w:numId w:val="3"/>
        </w:numPr>
        <w:rPr>
          <w:b/>
          <w:lang w:val="en-GB"/>
        </w:rPr>
      </w:pPr>
      <w:r w:rsidRPr="00BE2FE6">
        <w:rPr>
          <w:b/>
          <w:lang w:val="en-GB"/>
        </w:rPr>
        <w:t>Background</w:t>
      </w:r>
    </w:p>
    <w:p w14:paraId="094049F6" w14:textId="77777777" w:rsidR="00825398" w:rsidRDefault="00825398" w:rsidP="00097418">
      <w:pPr>
        <w:rPr>
          <w:b/>
          <w:lang w:val="en-GB"/>
        </w:rPr>
      </w:pPr>
    </w:p>
    <w:tbl>
      <w:tblPr>
        <w:tblStyle w:val="TableGrid"/>
        <w:tblW w:w="0" w:type="auto"/>
        <w:tblLook w:val="04A0" w:firstRow="1" w:lastRow="0" w:firstColumn="1" w:lastColumn="0" w:noHBand="0" w:noVBand="1"/>
      </w:tblPr>
      <w:tblGrid>
        <w:gridCol w:w="9010"/>
      </w:tblGrid>
      <w:tr w:rsidR="00825398" w14:paraId="7C382461" w14:textId="77777777" w:rsidTr="00825398">
        <w:tc>
          <w:tcPr>
            <w:tcW w:w="9010" w:type="dxa"/>
          </w:tcPr>
          <w:p w14:paraId="026216E5" w14:textId="77777777" w:rsidR="00825398" w:rsidRDefault="00825398" w:rsidP="00097418">
            <w:pPr>
              <w:rPr>
                <w:b/>
                <w:lang w:val="en-GB"/>
              </w:rPr>
            </w:pPr>
            <w:r>
              <w:rPr>
                <w:b/>
                <w:lang w:val="en-GB"/>
              </w:rPr>
              <w:t>Briefly describe the service/policy or function:</w:t>
            </w:r>
          </w:p>
          <w:p w14:paraId="08150F55" w14:textId="77777777" w:rsidR="00AA6C81" w:rsidRDefault="00825398" w:rsidP="00AA6C81">
            <w:pPr>
              <w:jc w:val="both"/>
              <w:rPr>
                <w:rFonts w:ascii="Arial" w:hAnsi="Arial"/>
                <w:color w:val="000000" w:themeColor="text1"/>
                <w:sz w:val="22"/>
              </w:rPr>
            </w:pPr>
            <w:r w:rsidRPr="00825398">
              <w:rPr>
                <w:lang w:val="en-GB"/>
              </w:rPr>
              <w:t xml:space="preserve"> </w:t>
            </w:r>
            <w:r w:rsidR="00AA6C81">
              <w:rPr>
                <w:rFonts w:ascii="Arial" w:hAnsi="Arial"/>
                <w:color w:val="000000" w:themeColor="text1"/>
                <w:sz w:val="22"/>
              </w:rPr>
              <w:t>The Council Tax Reduction (CTR) scheme came into being on 1</w:t>
            </w:r>
            <w:r w:rsidR="00AA6C81" w:rsidRPr="000426EB">
              <w:rPr>
                <w:rFonts w:ascii="Arial" w:hAnsi="Arial"/>
                <w:color w:val="000000" w:themeColor="text1"/>
                <w:sz w:val="22"/>
                <w:vertAlign w:val="superscript"/>
              </w:rPr>
              <w:t>st</w:t>
            </w:r>
            <w:r w:rsidR="00AA6C81">
              <w:rPr>
                <w:rFonts w:ascii="Arial" w:hAnsi="Arial"/>
                <w:color w:val="000000" w:themeColor="text1"/>
                <w:sz w:val="22"/>
              </w:rPr>
              <w:t xml:space="preserve"> April 2013 and replaced the existing Council Tax Benefit scheme. It is a means tested discount, designed to help low income households with their Council Tax.</w:t>
            </w:r>
          </w:p>
          <w:p w14:paraId="2AF9F5F1" w14:textId="77777777" w:rsidR="00AA6C81" w:rsidRDefault="00AA6C81" w:rsidP="00AA6C81">
            <w:pPr>
              <w:jc w:val="both"/>
              <w:rPr>
                <w:rFonts w:ascii="Arial" w:hAnsi="Arial"/>
                <w:color w:val="000000" w:themeColor="text1"/>
                <w:sz w:val="22"/>
              </w:rPr>
            </w:pPr>
          </w:p>
          <w:p w14:paraId="525CE2A7" w14:textId="77777777" w:rsidR="00AA6C81" w:rsidRDefault="00AA6C81" w:rsidP="00AA6C81">
            <w:pPr>
              <w:jc w:val="both"/>
              <w:rPr>
                <w:rFonts w:ascii="Arial" w:hAnsi="Arial"/>
                <w:color w:val="000000" w:themeColor="text1"/>
                <w:sz w:val="22"/>
              </w:rPr>
            </w:pPr>
            <w:r>
              <w:rPr>
                <w:rFonts w:ascii="Arial" w:hAnsi="Arial"/>
                <w:color w:val="000000" w:themeColor="text1"/>
                <w:sz w:val="22"/>
              </w:rPr>
              <w:t>Each Local Authority was required to design a scheme for working age households, whilst the Government proscribed the regulations to be used for those of pensionable age.  As a result, residents over the age of 65 cannot be adversely affected by any changes made by the London Borough of Richmond upon Thames (LBRuT) to the scheme.</w:t>
            </w:r>
          </w:p>
          <w:p w14:paraId="506FEF88" w14:textId="77777777" w:rsidR="00AA6C81" w:rsidRDefault="00AA6C81" w:rsidP="00AA6C81">
            <w:pPr>
              <w:jc w:val="both"/>
              <w:rPr>
                <w:rFonts w:ascii="Arial" w:hAnsi="Arial"/>
                <w:color w:val="000000" w:themeColor="text1"/>
                <w:sz w:val="22"/>
              </w:rPr>
            </w:pPr>
          </w:p>
          <w:p w14:paraId="714501E1" w14:textId="77777777" w:rsidR="00AA6C81" w:rsidRDefault="00AA6C81" w:rsidP="00AA6C81">
            <w:pPr>
              <w:jc w:val="both"/>
              <w:rPr>
                <w:rFonts w:ascii="Arial" w:hAnsi="Arial"/>
                <w:color w:val="000000" w:themeColor="text1"/>
                <w:sz w:val="22"/>
              </w:rPr>
            </w:pPr>
            <w:r>
              <w:rPr>
                <w:rFonts w:ascii="Arial" w:hAnsi="Arial"/>
                <w:color w:val="000000" w:themeColor="text1"/>
                <w:sz w:val="22"/>
              </w:rPr>
              <w:t>LBRuT’s CTR scheme currently includes protection for the most vulnerable households.  This protection can be given where a member of the household is in receipt of certain disability benefits and also includes carers and households who receive a Council Tax reduction for disability.</w:t>
            </w:r>
          </w:p>
          <w:p w14:paraId="7F660DE5" w14:textId="77777777" w:rsidR="00AA6C81" w:rsidRDefault="00AA6C81" w:rsidP="00AA6C81">
            <w:pPr>
              <w:jc w:val="both"/>
              <w:rPr>
                <w:rFonts w:ascii="Arial" w:hAnsi="Arial"/>
                <w:color w:val="000000" w:themeColor="text1"/>
                <w:sz w:val="22"/>
              </w:rPr>
            </w:pPr>
          </w:p>
          <w:p w14:paraId="092FFF75" w14:textId="77777777" w:rsidR="00AA6C81" w:rsidRDefault="00AA6C81" w:rsidP="00AA6C81">
            <w:pPr>
              <w:jc w:val="both"/>
              <w:rPr>
                <w:rFonts w:ascii="Arial" w:hAnsi="Arial"/>
                <w:color w:val="000000" w:themeColor="text1"/>
                <w:sz w:val="22"/>
              </w:rPr>
            </w:pPr>
            <w:r>
              <w:rPr>
                <w:rFonts w:ascii="Arial" w:hAnsi="Arial"/>
                <w:color w:val="000000" w:themeColor="text1"/>
                <w:sz w:val="22"/>
              </w:rPr>
              <w:t>Council Tax Support is limited at Band E meaning that recipients in Band F, G or H properties receive support as if they were in a Band E property.</w:t>
            </w:r>
          </w:p>
          <w:p w14:paraId="1167E953" w14:textId="77777777" w:rsidR="00AA6C81" w:rsidRDefault="00AA6C81" w:rsidP="00AA6C81">
            <w:pPr>
              <w:jc w:val="both"/>
              <w:rPr>
                <w:rFonts w:ascii="Arial" w:hAnsi="Arial"/>
                <w:color w:val="000000" w:themeColor="text1"/>
                <w:sz w:val="22"/>
              </w:rPr>
            </w:pPr>
          </w:p>
          <w:p w14:paraId="5A6EC302" w14:textId="77777777" w:rsidR="00AA6C81" w:rsidRDefault="00AA6C81" w:rsidP="00AA6C81">
            <w:pPr>
              <w:jc w:val="both"/>
              <w:rPr>
                <w:rFonts w:ascii="Arial" w:hAnsi="Arial"/>
                <w:color w:val="000000" w:themeColor="text1"/>
                <w:sz w:val="22"/>
              </w:rPr>
            </w:pPr>
            <w:r>
              <w:rPr>
                <w:rFonts w:ascii="Arial" w:hAnsi="Arial"/>
                <w:color w:val="000000" w:themeColor="text1"/>
                <w:sz w:val="22"/>
              </w:rPr>
              <w:t>In 201</w:t>
            </w:r>
            <w:r w:rsidR="002F1652">
              <w:rPr>
                <w:rFonts w:ascii="Arial" w:hAnsi="Arial"/>
                <w:color w:val="000000" w:themeColor="text1"/>
                <w:sz w:val="22"/>
              </w:rPr>
              <w:t>6</w:t>
            </w:r>
            <w:r>
              <w:rPr>
                <w:rFonts w:ascii="Arial" w:hAnsi="Arial"/>
                <w:color w:val="000000" w:themeColor="text1"/>
                <w:sz w:val="22"/>
              </w:rPr>
              <w:t>/1</w:t>
            </w:r>
            <w:r w:rsidR="002F1652">
              <w:rPr>
                <w:rFonts w:ascii="Arial" w:hAnsi="Arial"/>
                <w:color w:val="000000" w:themeColor="text1"/>
                <w:sz w:val="22"/>
              </w:rPr>
              <w:t>7</w:t>
            </w:r>
            <w:r>
              <w:rPr>
                <w:rFonts w:ascii="Arial" w:hAnsi="Arial"/>
                <w:color w:val="000000" w:themeColor="text1"/>
                <w:sz w:val="22"/>
              </w:rPr>
              <w:t>, the Council imposed a change which meant that applicants’ CTR was calculated on 95% of their total Council Tax liability.  This was followed in 2017/18 with a further change meaning that CTR was calculated on 85% of Council Tax Liability.</w:t>
            </w:r>
          </w:p>
          <w:p w14:paraId="663C03DC" w14:textId="77777777" w:rsidR="00AA6C81" w:rsidRPr="007116DD" w:rsidRDefault="00AA6C81" w:rsidP="00AA6C81">
            <w:pPr>
              <w:jc w:val="both"/>
              <w:rPr>
                <w:rFonts w:ascii="Arial" w:hAnsi="Arial"/>
                <w:color w:val="000000" w:themeColor="text1"/>
                <w:sz w:val="20"/>
              </w:rPr>
            </w:pPr>
          </w:p>
          <w:p w14:paraId="276CEA7C" w14:textId="77777777" w:rsidR="00AA6C81" w:rsidRDefault="00AA6C81" w:rsidP="00AA6C81">
            <w:pPr>
              <w:jc w:val="both"/>
              <w:rPr>
                <w:rFonts w:ascii="Arial" w:hAnsi="Arial"/>
                <w:color w:val="000000" w:themeColor="text1"/>
                <w:sz w:val="22"/>
              </w:rPr>
            </w:pPr>
            <w:r>
              <w:rPr>
                <w:rFonts w:ascii="Arial" w:hAnsi="Arial"/>
                <w:color w:val="000000" w:themeColor="text1"/>
                <w:sz w:val="22"/>
              </w:rPr>
              <w:lastRenderedPageBreak/>
              <w:t>This EINA is in respect of a proposed change to the CTR scheme that would affect only working age applicants who are not treated as vulnerable.</w:t>
            </w:r>
          </w:p>
          <w:p w14:paraId="186C6F8A" w14:textId="77777777" w:rsidR="00AA6C81" w:rsidRPr="007116DD" w:rsidRDefault="00AA6C81" w:rsidP="00AA6C81">
            <w:pPr>
              <w:jc w:val="both"/>
              <w:rPr>
                <w:rFonts w:ascii="Arial" w:hAnsi="Arial"/>
                <w:color w:val="000000" w:themeColor="text1"/>
                <w:sz w:val="20"/>
              </w:rPr>
            </w:pPr>
          </w:p>
          <w:p w14:paraId="12FFC878" w14:textId="77777777" w:rsidR="00AA6C81" w:rsidRPr="00AA6C81" w:rsidRDefault="00AA6C81" w:rsidP="00AA6C81">
            <w:pPr>
              <w:jc w:val="both"/>
              <w:rPr>
                <w:rFonts w:ascii="Arial" w:hAnsi="Arial"/>
                <w:color w:val="000000" w:themeColor="text1"/>
                <w:sz w:val="22"/>
              </w:rPr>
            </w:pPr>
            <w:r w:rsidRPr="00AA6C81">
              <w:rPr>
                <w:rFonts w:ascii="Arial" w:hAnsi="Arial"/>
                <w:color w:val="000000" w:themeColor="text1"/>
                <w:sz w:val="22"/>
              </w:rPr>
              <w:t>The proposal is that all working age, non-vulnerable applicants will have their CTR calculated on 100% of their Council Tax liability.</w:t>
            </w:r>
          </w:p>
          <w:p w14:paraId="79BA5412" w14:textId="77777777" w:rsidR="00825398" w:rsidRPr="00825398" w:rsidRDefault="00825398" w:rsidP="00097418">
            <w:pPr>
              <w:rPr>
                <w:lang w:val="en-GB"/>
              </w:rPr>
            </w:pPr>
          </w:p>
        </w:tc>
      </w:tr>
    </w:tbl>
    <w:p w14:paraId="10D8A888" w14:textId="77777777" w:rsidR="00825398" w:rsidRDefault="00825398" w:rsidP="00097418">
      <w:pPr>
        <w:rPr>
          <w:b/>
          <w:lang w:val="en-GB"/>
        </w:rPr>
      </w:pPr>
    </w:p>
    <w:p w14:paraId="62C636A8" w14:textId="77777777" w:rsidR="00825398" w:rsidRPr="00BE2FE6" w:rsidRDefault="00BF6A6C" w:rsidP="00BE2FE6">
      <w:pPr>
        <w:pStyle w:val="ListParagraph"/>
        <w:numPr>
          <w:ilvl w:val="0"/>
          <w:numId w:val="3"/>
        </w:numPr>
        <w:rPr>
          <w:b/>
          <w:lang w:val="en-GB"/>
        </w:rPr>
      </w:pPr>
      <w:r w:rsidRPr="00BE2FE6">
        <w:rPr>
          <w:b/>
          <w:lang w:val="en-GB"/>
        </w:rPr>
        <w:t>Analysis of need and impact</w:t>
      </w:r>
    </w:p>
    <w:p w14:paraId="692BAF48" w14:textId="77777777" w:rsidR="00BF6A6C" w:rsidRDefault="00BF6A6C" w:rsidP="00097418">
      <w:pPr>
        <w:rPr>
          <w:b/>
          <w:lang w:val="en-GB"/>
        </w:rPr>
      </w:pPr>
    </w:p>
    <w:tbl>
      <w:tblPr>
        <w:tblStyle w:val="TableGrid"/>
        <w:tblW w:w="5000" w:type="pct"/>
        <w:tblLook w:val="04A0" w:firstRow="1" w:lastRow="0" w:firstColumn="1" w:lastColumn="0" w:noHBand="0" w:noVBand="1"/>
      </w:tblPr>
      <w:tblGrid>
        <w:gridCol w:w="2058"/>
        <w:gridCol w:w="6952"/>
      </w:tblGrid>
      <w:tr w:rsidR="00472D5D" w14:paraId="1F123824" w14:textId="77777777" w:rsidTr="00AA6C81">
        <w:tc>
          <w:tcPr>
            <w:tcW w:w="1142" w:type="pct"/>
          </w:tcPr>
          <w:p w14:paraId="4BF05EB5" w14:textId="77777777" w:rsidR="00472D5D" w:rsidRDefault="00472D5D" w:rsidP="00097418">
            <w:pPr>
              <w:rPr>
                <w:b/>
                <w:lang w:val="en-GB"/>
              </w:rPr>
            </w:pPr>
            <w:r>
              <w:rPr>
                <w:b/>
                <w:lang w:val="en-GB"/>
              </w:rPr>
              <w:t>Protected group</w:t>
            </w:r>
          </w:p>
        </w:tc>
        <w:tc>
          <w:tcPr>
            <w:tcW w:w="3858" w:type="pct"/>
          </w:tcPr>
          <w:p w14:paraId="5F6E21C4" w14:textId="77777777" w:rsidR="00472D5D" w:rsidRDefault="00472D5D" w:rsidP="00097418">
            <w:pPr>
              <w:rPr>
                <w:b/>
                <w:lang w:val="en-GB"/>
              </w:rPr>
            </w:pPr>
            <w:r>
              <w:rPr>
                <w:b/>
                <w:lang w:val="en-GB"/>
              </w:rPr>
              <w:t>Findings</w:t>
            </w:r>
          </w:p>
        </w:tc>
      </w:tr>
      <w:tr w:rsidR="00472D5D" w14:paraId="09A09279" w14:textId="77777777" w:rsidTr="00AA6C81">
        <w:trPr>
          <w:trHeight w:val="339"/>
        </w:trPr>
        <w:tc>
          <w:tcPr>
            <w:tcW w:w="1142" w:type="pct"/>
          </w:tcPr>
          <w:p w14:paraId="1900920D" w14:textId="77777777" w:rsidR="00472D5D" w:rsidRDefault="00472D5D" w:rsidP="00097418">
            <w:pPr>
              <w:rPr>
                <w:b/>
                <w:lang w:val="en-GB"/>
              </w:rPr>
            </w:pPr>
            <w:r>
              <w:rPr>
                <w:b/>
                <w:lang w:val="en-GB"/>
              </w:rPr>
              <w:t>Age</w:t>
            </w:r>
          </w:p>
        </w:tc>
        <w:tc>
          <w:tcPr>
            <w:tcW w:w="3858" w:type="pct"/>
          </w:tcPr>
          <w:p w14:paraId="45EFAF73" w14:textId="77777777" w:rsidR="00AA6C81" w:rsidRDefault="00AA6C81" w:rsidP="00AA6C81">
            <w:pPr>
              <w:jc w:val="both"/>
              <w:rPr>
                <w:rFonts w:ascii="Arial" w:hAnsi="Arial"/>
                <w:sz w:val="12"/>
              </w:rPr>
            </w:pPr>
            <w:r>
              <w:rPr>
                <w:rFonts w:ascii="Arial" w:hAnsi="Arial"/>
                <w:sz w:val="22"/>
              </w:rPr>
              <w:t xml:space="preserve">The total number of residents in LBRuT (based on the mid-2017 ONS estimate) is </w:t>
            </w:r>
            <w:r w:rsidRPr="002E7851">
              <w:rPr>
                <w:rFonts w:ascii="Arial" w:hAnsi="Arial"/>
                <w:sz w:val="22"/>
              </w:rPr>
              <w:t xml:space="preserve">195,680. </w:t>
            </w:r>
          </w:p>
          <w:p w14:paraId="172AA77F" w14:textId="77777777" w:rsidR="00AA6C81" w:rsidRPr="00B0737A" w:rsidRDefault="00AA6C81" w:rsidP="00AA6C81">
            <w:pPr>
              <w:jc w:val="both"/>
              <w:rPr>
                <w:rFonts w:ascii="Arial" w:hAnsi="Arial"/>
                <w:sz w:val="12"/>
              </w:rPr>
            </w:pPr>
          </w:p>
          <w:tbl>
            <w:tblPr>
              <w:tblStyle w:val="TableGrid"/>
              <w:tblW w:w="0" w:type="auto"/>
              <w:jc w:val="center"/>
              <w:tblLook w:val="04A0" w:firstRow="1" w:lastRow="0" w:firstColumn="1" w:lastColumn="0" w:noHBand="0" w:noVBand="1"/>
            </w:tblPr>
            <w:tblGrid>
              <w:gridCol w:w="1097"/>
              <w:gridCol w:w="1418"/>
              <w:gridCol w:w="1729"/>
              <w:gridCol w:w="1417"/>
            </w:tblGrid>
            <w:tr w:rsidR="00AA6C81" w14:paraId="1F170B8E" w14:textId="77777777" w:rsidTr="00AA6C81">
              <w:trPr>
                <w:trHeight w:val="680"/>
                <w:jc w:val="center"/>
              </w:trPr>
              <w:tc>
                <w:tcPr>
                  <w:tcW w:w="1097" w:type="dxa"/>
                  <w:shd w:val="clear" w:color="auto" w:fill="BFBFBF" w:themeFill="background1" w:themeFillShade="BF"/>
                  <w:vAlign w:val="center"/>
                </w:tcPr>
                <w:p w14:paraId="5A686902" w14:textId="77777777" w:rsidR="00AA6C81" w:rsidRPr="007116DD" w:rsidRDefault="00AA6C81" w:rsidP="00AA6C81">
                  <w:pPr>
                    <w:jc w:val="center"/>
                    <w:rPr>
                      <w:rFonts w:ascii="Arial" w:hAnsi="Arial"/>
                      <w:b/>
                      <w:color w:val="FFFFFF" w:themeColor="background1"/>
                      <w:sz w:val="20"/>
                    </w:rPr>
                  </w:pPr>
                  <w:r w:rsidRPr="005D3A2B">
                    <w:rPr>
                      <w:rFonts w:ascii="Arial" w:hAnsi="Arial"/>
                      <w:b/>
                      <w:sz w:val="20"/>
                    </w:rPr>
                    <w:t>Age</w:t>
                  </w:r>
                </w:p>
              </w:tc>
              <w:tc>
                <w:tcPr>
                  <w:tcW w:w="1418" w:type="dxa"/>
                  <w:shd w:val="clear" w:color="auto" w:fill="BFBFBF" w:themeFill="background1" w:themeFillShade="BF"/>
                  <w:vAlign w:val="center"/>
                </w:tcPr>
                <w:p w14:paraId="72916291" w14:textId="77777777" w:rsidR="00AA6C81" w:rsidRPr="007116DD" w:rsidRDefault="00AA6C81" w:rsidP="00AA6C81">
                  <w:pPr>
                    <w:jc w:val="center"/>
                    <w:rPr>
                      <w:rFonts w:ascii="Arial" w:hAnsi="Arial"/>
                      <w:b/>
                      <w:sz w:val="20"/>
                    </w:rPr>
                  </w:pPr>
                  <w:r w:rsidRPr="007116DD">
                    <w:rPr>
                      <w:rFonts w:ascii="Arial" w:hAnsi="Arial"/>
                      <w:b/>
                      <w:sz w:val="20"/>
                    </w:rPr>
                    <w:t>% of LBRuT</w:t>
                  </w:r>
                </w:p>
              </w:tc>
              <w:tc>
                <w:tcPr>
                  <w:tcW w:w="1729" w:type="dxa"/>
                  <w:shd w:val="clear" w:color="auto" w:fill="BFBFBF" w:themeFill="background1" w:themeFillShade="BF"/>
                  <w:vAlign w:val="center"/>
                </w:tcPr>
                <w:p w14:paraId="4E7F43A5" w14:textId="77777777" w:rsidR="00AA6C81" w:rsidRPr="007116DD" w:rsidRDefault="00AA6C81" w:rsidP="00AA6C81">
                  <w:pPr>
                    <w:jc w:val="center"/>
                    <w:rPr>
                      <w:rFonts w:ascii="Arial" w:hAnsi="Arial"/>
                      <w:b/>
                      <w:sz w:val="20"/>
                    </w:rPr>
                  </w:pPr>
                  <w:r>
                    <w:rPr>
                      <w:rFonts w:ascii="Arial" w:hAnsi="Arial"/>
                      <w:b/>
                      <w:sz w:val="20"/>
                    </w:rPr>
                    <w:t xml:space="preserve">% of </w:t>
                  </w:r>
                  <w:r w:rsidRPr="007116DD">
                    <w:rPr>
                      <w:rFonts w:ascii="Arial" w:hAnsi="Arial"/>
                      <w:b/>
                      <w:sz w:val="20"/>
                    </w:rPr>
                    <w:t xml:space="preserve">CTR </w:t>
                  </w:r>
                  <w:r>
                    <w:rPr>
                      <w:rFonts w:ascii="Arial" w:hAnsi="Arial"/>
                      <w:b/>
                      <w:sz w:val="20"/>
                    </w:rPr>
                    <w:t>recipients</w:t>
                  </w:r>
                </w:p>
              </w:tc>
              <w:tc>
                <w:tcPr>
                  <w:tcW w:w="1417" w:type="dxa"/>
                  <w:tcBorders>
                    <w:bottom w:val="single" w:sz="4" w:space="0" w:color="auto"/>
                  </w:tcBorders>
                  <w:shd w:val="clear" w:color="auto" w:fill="BFBFBF" w:themeFill="background1" w:themeFillShade="BF"/>
                  <w:vAlign w:val="center"/>
                </w:tcPr>
                <w:p w14:paraId="0352EB3C" w14:textId="77777777" w:rsidR="00AA6C81" w:rsidRPr="007116DD" w:rsidRDefault="00AA6C81" w:rsidP="00AA6C81">
                  <w:pPr>
                    <w:jc w:val="center"/>
                    <w:rPr>
                      <w:rFonts w:ascii="Arial" w:hAnsi="Arial"/>
                      <w:b/>
                      <w:sz w:val="20"/>
                    </w:rPr>
                  </w:pPr>
                  <w:r w:rsidRPr="007116DD">
                    <w:rPr>
                      <w:rFonts w:ascii="Arial" w:hAnsi="Arial"/>
                      <w:b/>
                      <w:sz w:val="20"/>
                    </w:rPr>
                    <w:t>Difference</w:t>
                  </w:r>
                </w:p>
              </w:tc>
            </w:tr>
            <w:tr w:rsidR="00AA6C81" w14:paraId="0E9724F5" w14:textId="77777777" w:rsidTr="00AA6C81">
              <w:trPr>
                <w:trHeight w:val="284"/>
                <w:jc w:val="center"/>
              </w:trPr>
              <w:tc>
                <w:tcPr>
                  <w:tcW w:w="1097" w:type="dxa"/>
                  <w:vAlign w:val="center"/>
                </w:tcPr>
                <w:p w14:paraId="52230740" w14:textId="77777777" w:rsidR="00AA6C81" w:rsidRPr="007116DD" w:rsidRDefault="00AA6C81" w:rsidP="00AA6C81">
                  <w:pPr>
                    <w:jc w:val="center"/>
                    <w:rPr>
                      <w:rFonts w:ascii="Arial" w:hAnsi="Arial"/>
                      <w:sz w:val="20"/>
                    </w:rPr>
                  </w:pPr>
                  <w:r w:rsidRPr="007116DD">
                    <w:rPr>
                      <w:rFonts w:ascii="Arial" w:hAnsi="Arial"/>
                      <w:sz w:val="20"/>
                    </w:rPr>
                    <w:t>0-20</w:t>
                  </w:r>
                </w:p>
              </w:tc>
              <w:tc>
                <w:tcPr>
                  <w:tcW w:w="1418" w:type="dxa"/>
                  <w:vAlign w:val="center"/>
                </w:tcPr>
                <w:p w14:paraId="24DA09BA" w14:textId="77777777" w:rsidR="00AA6C81" w:rsidRPr="00325BA6" w:rsidRDefault="00AA6C81" w:rsidP="00AA6C81">
                  <w:pPr>
                    <w:jc w:val="right"/>
                    <w:rPr>
                      <w:rFonts w:ascii="Arial" w:hAnsi="Arial"/>
                      <w:sz w:val="20"/>
                      <w:szCs w:val="20"/>
                    </w:rPr>
                  </w:pPr>
                  <w:r w:rsidRPr="00325BA6">
                    <w:rPr>
                      <w:rFonts w:ascii="Arial" w:hAnsi="Arial"/>
                      <w:sz w:val="20"/>
                      <w:szCs w:val="20"/>
                    </w:rPr>
                    <w:t>25.6</w:t>
                  </w:r>
                </w:p>
              </w:tc>
              <w:tc>
                <w:tcPr>
                  <w:tcW w:w="1729" w:type="dxa"/>
                  <w:vAlign w:val="center"/>
                </w:tcPr>
                <w:p w14:paraId="5BB3F87D" w14:textId="77777777" w:rsidR="00AA6C81" w:rsidRPr="007116DD" w:rsidRDefault="00AA6C81" w:rsidP="00AA6C81">
                  <w:pPr>
                    <w:jc w:val="right"/>
                    <w:rPr>
                      <w:rFonts w:ascii="Arial" w:hAnsi="Arial"/>
                      <w:sz w:val="20"/>
                    </w:rPr>
                  </w:pPr>
                  <w:r>
                    <w:rPr>
                      <w:rFonts w:ascii="Arial" w:hAnsi="Arial"/>
                      <w:sz w:val="20"/>
                    </w:rPr>
                    <w:t>0.3</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50BE09" w14:textId="77777777" w:rsidR="00AA6C81" w:rsidRPr="00DB0B0A" w:rsidRDefault="00AA6C81" w:rsidP="00AA6C81">
                  <w:pPr>
                    <w:jc w:val="right"/>
                    <w:rPr>
                      <w:rFonts w:ascii="Arial" w:hAnsi="Arial"/>
                      <w:color w:val="000000"/>
                      <w:sz w:val="20"/>
                      <w:szCs w:val="22"/>
                    </w:rPr>
                  </w:pPr>
                  <w:r w:rsidRPr="00DB0B0A">
                    <w:rPr>
                      <w:rFonts w:ascii="Arial" w:hAnsi="Arial"/>
                      <w:color w:val="000000"/>
                      <w:sz w:val="20"/>
                      <w:szCs w:val="22"/>
                    </w:rPr>
                    <w:t>-25.3</w:t>
                  </w:r>
                </w:p>
              </w:tc>
            </w:tr>
            <w:tr w:rsidR="00AA6C81" w14:paraId="46E01618" w14:textId="77777777" w:rsidTr="00AA6C81">
              <w:trPr>
                <w:trHeight w:val="284"/>
                <w:jc w:val="center"/>
              </w:trPr>
              <w:tc>
                <w:tcPr>
                  <w:tcW w:w="1097" w:type="dxa"/>
                  <w:vAlign w:val="center"/>
                </w:tcPr>
                <w:p w14:paraId="57717BA2" w14:textId="77777777" w:rsidR="00AA6C81" w:rsidRPr="007116DD" w:rsidRDefault="00AA6C81" w:rsidP="00AA6C81">
                  <w:pPr>
                    <w:jc w:val="center"/>
                    <w:rPr>
                      <w:rFonts w:ascii="Arial" w:hAnsi="Arial"/>
                      <w:sz w:val="20"/>
                    </w:rPr>
                  </w:pPr>
                  <w:r w:rsidRPr="007116DD">
                    <w:rPr>
                      <w:rFonts w:ascii="Arial" w:hAnsi="Arial"/>
                      <w:sz w:val="20"/>
                    </w:rPr>
                    <w:t>21-30</w:t>
                  </w:r>
                </w:p>
              </w:tc>
              <w:tc>
                <w:tcPr>
                  <w:tcW w:w="1418" w:type="dxa"/>
                  <w:vAlign w:val="center"/>
                </w:tcPr>
                <w:p w14:paraId="37A0CB45" w14:textId="77777777" w:rsidR="00AA6C81" w:rsidRPr="00325BA6" w:rsidRDefault="00AA6C81" w:rsidP="00AA6C81">
                  <w:pPr>
                    <w:jc w:val="right"/>
                    <w:rPr>
                      <w:rFonts w:ascii="Arial" w:hAnsi="Arial"/>
                      <w:sz w:val="20"/>
                      <w:szCs w:val="20"/>
                    </w:rPr>
                  </w:pPr>
                  <w:r w:rsidRPr="00325BA6">
                    <w:rPr>
                      <w:rFonts w:ascii="Arial" w:hAnsi="Arial"/>
                      <w:sz w:val="20"/>
                      <w:szCs w:val="20"/>
                    </w:rPr>
                    <w:t>9.8</w:t>
                  </w:r>
                </w:p>
              </w:tc>
              <w:tc>
                <w:tcPr>
                  <w:tcW w:w="1729" w:type="dxa"/>
                  <w:vAlign w:val="center"/>
                </w:tcPr>
                <w:p w14:paraId="2EA2F29B" w14:textId="77777777" w:rsidR="00AA6C81" w:rsidRPr="007116DD" w:rsidRDefault="00AA6C81" w:rsidP="00AA6C81">
                  <w:pPr>
                    <w:jc w:val="right"/>
                    <w:rPr>
                      <w:rFonts w:ascii="Arial" w:hAnsi="Arial"/>
                      <w:sz w:val="20"/>
                    </w:rPr>
                  </w:pPr>
                  <w:r>
                    <w:rPr>
                      <w:rFonts w:ascii="Arial" w:hAnsi="Arial"/>
                      <w:sz w:val="20"/>
                    </w:rPr>
                    <w:t>7.3</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41E44C" w14:textId="77777777" w:rsidR="00AA6C81" w:rsidRPr="00DB0B0A" w:rsidRDefault="00AA6C81" w:rsidP="00AA6C81">
                  <w:pPr>
                    <w:jc w:val="right"/>
                    <w:rPr>
                      <w:rFonts w:ascii="Arial" w:hAnsi="Arial"/>
                      <w:color w:val="000000"/>
                      <w:sz w:val="20"/>
                      <w:szCs w:val="22"/>
                    </w:rPr>
                  </w:pPr>
                  <w:r w:rsidRPr="00DB0B0A">
                    <w:rPr>
                      <w:rFonts w:ascii="Arial" w:hAnsi="Arial"/>
                      <w:color w:val="000000"/>
                      <w:sz w:val="20"/>
                      <w:szCs w:val="22"/>
                    </w:rPr>
                    <w:t>-2.5</w:t>
                  </w:r>
                </w:p>
              </w:tc>
            </w:tr>
            <w:tr w:rsidR="00AA6C81" w14:paraId="1F8AC4AC" w14:textId="77777777" w:rsidTr="00AA6C81">
              <w:trPr>
                <w:trHeight w:val="284"/>
                <w:jc w:val="center"/>
              </w:trPr>
              <w:tc>
                <w:tcPr>
                  <w:tcW w:w="1097" w:type="dxa"/>
                  <w:vAlign w:val="center"/>
                </w:tcPr>
                <w:p w14:paraId="1DBC726F" w14:textId="77777777" w:rsidR="00AA6C81" w:rsidRPr="007116DD" w:rsidRDefault="00AA6C81" w:rsidP="00AA6C81">
                  <w:pPr>
                    <w:jc w:val="center"/>
                    <w:rPr>
                      <w:rFonts w:ascii="Arial" w:hAnsi="Arial"/>
                      <w:sz w:val="20"/>
                    </w:rPr>
                  </w:pPr>
                  <w:r w:rsidRPr="007116DD">
                    <w:rPr>
                      <w:rFonts w:ascii="Arial" w:hAnsi="Arial"/>
                      <w:sz w:val="20"/>
                    </w:rPr>
                    <w:t>31-40</w:t>
                  </w:r>
                </w:p>
              </w:tc>
              <w:tc>
                <w:tcPr>
                  <w:tcW w:w="1418" w:type="dxa"/>
                  <w:vAlign w:val="center"/>
                </w:tcPr>
                <w:p w14:paraId="617ECC63" w14:textId="77777777" w:rsidR="00AA6C81" w:rsidRPr="00325BA6" w:rsidRDefault="00AA6C81" w:rsidP="00AA6C81">
                  <w:pPr>
                    <w:jc w:val="right"/>
                    <w:rPr>
                      <w:rFonts w:ascii="Arial" w:hAnsi="Arial"/>
                      <w:sz w:val="20"/>
                      <w:szCs w:val="20"/>
                    </w:rPr>
                  </w:pPr>
                  <w:r w:rsidRPr="00325BA6">
                    <w:rPr>
                      <w:rFonts w:ascii="Arial" w:hAnsi="Arial"/>
                      <w:sz w:val="20"/>
                      <w:szCs w:val="20"/>
                    </w:rPr>
                    <w:t>15.8</w:t>
                  </w:r>
                </w:p>
              </w:tc>
              <w:tc>
                <w:tcPr>
                  <w:tcW w:w="1729" w:type="dxa"/>
                  <w:vAlign w:val="center"/>
                </w:tcPr>
                <w:p w14:paraId="5873D76B" w14:textId="77777777" w:rsidR="00AA6C81" w:rsidRPr="007116DD" w:rsidRDefault="00AA6C81" w:rsidP="00AA6C81">
                  <w:pPr>
                    <w:jc w:val="right"/>
                    <w:rPr>
                      <w:rFonts w:ascii="Arial" w:hAnsi="Arial"/>
                      <w:sz w:val="20"/>
                    </w:rPr>
                  </w:pPr>
                  <w:r>
                    <w:rPr>
                      <w:rFonts w:ascii="Arial" w:hAnsi="Arial"/>
                      <w:sz w:val="20"/>
                    </w:rPr>
                    <w:t>14.0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1BFB76" w14:textId="77777777" w:rsidR="00AA6C81" w:rsidRPr="00DB0B0A" w:rsidRDefault="00AA6C81" w:rsidP="00AA6C81">
                  <w:pPr>
                    <w:jc w:val="right"/>
                    <w:rPr>
                      <w:rFonts w:ascii="Arial" w:hAnsi="Arial"/>
                      <w:color w:val="000000"/>
                      <w:sz w:val="20"/>
                      <w:szCs w:val="22"/>
                    </w:rPr>
                  </w:pPr>
                  <w:r w:rsidRPr="00DB0B0A">
                    <w:rPr>
                      <w:rFonts w:ascii="Arial" w:hAnsi="Arial"/>
                      <w:color w:val="000000"/>
                      <w:sz w:val="20"/>
                      <w:szCs w:val="22"/>
                    </w:rPr>
                    <w:t>-1.8</w:t>
                  </w:r>
                </w:p>
              </w:tc>
            </w:tr>
            <w:tr w:rsidR="00AA6C81" w14:paraId="2ED22A63" w14:textId="77777777" w:rsidTr="00AA6C81">
              <w:trPr>
                <w:trHeight w:val="284"/>
                <w:jc w:val="center"/>
              </w:trPr>
              <w:tc>
                <w:tcPr>
                  <w:tcW w:w="1097" w:type="dxa"/>
                  <w:vAlign w:val="center"/>
                </w:tcPr>
                <w:p w14:paraId="29A7B60E" w14:textId="77777777" w:rsidR="00AA6C81" w:rsidRPr="007116DD" w:rsidRDefault="00AA6C81" w:rsidP="00AA6C81">
                  <w:pPr>
                    <w:jc w:val="center"/>
                    <w:rPr>
                      <w:rFonts w:ascii="Arial" w:hAnsi="Arial"/>
                      <w:sz w:val="20"/>
                    </w:rPr>
                  </w:pPr>
                  <w:r w:rsidRPr="007116DD">
                    <w:rPr>
                      <w:rFonts w:ascii="Arial" w:hAnsi="Arial"/>
                      <w:sz w:val="20"/>
                    </w:rPr>
                    <w:t>41-50</w:t>
                  </w:r>
                </w:p>
              </w:tc>
              <w:tc>
                <w:tcPr>
                  <w:tcW w:w="1418" w:type="dxa"/>
                  <w:vAlign w:val="center"/>
                </w:tcPr>
                <w:p w14:paraId="21FFFA13" w14:textId="77777777" w:rsidR="00AA6C81" w:rsidRPr="00325BA6" w:rsidRDefault="00AA6C81" w:rsidP="00AA6C81">
                  <w:pPr>
                    <w:jc w:val="right"/>
                    <w:rPr>
                      <w:rFonts w:ascii="Arial" w:hAnsi="Arial"/>
                      <w:sz w:val="20"/>
                      <w:szCs w:val="20"/>
                    </w:rPr>
                  </w:pPr>
                  <w:r w:rsidRPr="00325BA6">
                    <w:rPr>
                      <w:rFonts w:ascii="Arial" w:hAnsi="Arial"/>
                      <w:sz w:val="20"/>
                      <w:szCs w:val="20"/>
                    </w:rPr>
                    <w:t>16.7</w:t>
                  </w:r>
                </w:p>
              </w:tc>
              <w:tc>
                <w:tcPr>
                  <w:tcW w:w="1729" w:type="dxa"/>
                  <w:vAlign w:val="center"/>
                </w:tcPr>
                <w:p w14:paraId="74296D36" w14:textId="77777777" w:rsidR="00AA6C81" w:rsidRPr="007116DD" w:rsidRDefault="00AA6C81" w:rsidP="00AA6C81">
                  <w:pPr>
                    <w:jc w:val="right"/>
                    <w:rPr>
                      <w:rFonts w:ascii="Arial" w:hAnsi="Arial"/>
                      <w:sz w:val="20"/>
                    </w:rPr>
                  </w:pPr>
                  <w:r>
                    <w:rPr>
                      <w:rFonts w:ascii="Arial" w:hAnsi="Arial"/>
                      <w:sz w:val="20"/>
                    </w:rPr>
                    <w:t>16.1</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4FA74D" w14:textId="77777777" w:rsidR="00AA6C81" w:rsidRPr="00DB0B0A" w:rsidRDefault="00AA6C81" w:rsidP="00AA6C81">
                  <w:pPr>
                    <w:jc w:val="right"/>
                    <w:rPr>
                      <w:rFonts w:ascii="Arial" w:hAnsi="Arial"/>
                      <w:color w:val="000000"/>
                      <w:sz w:val="20"/>
                      <w:szCs w:val="22"/>
                    </w:rPr>
                  </w:pPr>
                  <w:r w:rsidRPr="00DB0B0A">
                    <w:rPr>
                      <w:rFonts w:ascii="Arial" w:hAnsi="Arial"/>
                      <w:color w:val="000000"/>
                      <w:sz w:val="20"/>
                      <w:szCs w:val="22"/>
                    </w:rPr>
                    <w:t>-0.6</w:t>
                  </w:r>
                </w:p>
              </w:tc>
            </w:tr>
            <w:tr w:rsidR="00AA6C81" w14:paraId="73B57081" w14:textId="77777777" w:rsidTr="00AA6C81">
              <w:trPr>
                <w:trHeight w:val="284"/>
                <w:jc w:val="center"/>
              </w:trPr>
              <w:tc>
                <w:tcPr>
                  <w:tcW w:w="1097" w:type="dxa"/>
                  <w:vAlign w:val="center"/>
                </w:tcPr>
                <w:p w14:paraId="4FB0E3B7" w14:textId="77777777" w:rsidR="00AA6C81" w:rsidRPr="007116DD" w:rsidRDefault="00AA6C81" w:rsidP="00AA6C81">
                  <w:pPr>
                    <w:jc w:val="center"/>
                    <w:rPr>
                      <w:rFonts w:ascii="Arial" w:hAnsi="Arial"/>
                      <w:sz w:val="20"/>
                    </w:rPr>
                  </w:pPr>
                  <w:r w:rsidRPr="007116DD">
                    <w:rPr>
                      <w:rFonts w:ascii="Arial" w:hAnsi="Arial"/>
                      <w:sz w:val="20"/>
                    </w:rPr>
                    <w:t>51-60</w:t>
                  </w:r>
                </w:p>
              </w:tc>
              <w:tc>
                <w:tcPr>
                  <w:tcW w:w="1418" w:type="dxa"/>
                  <w:vAlign w:val="center"/>
                </w:tcPr>
                <w:p w14:paraId="501CD5D2" w14:textId="77777777" w:rsidR="00AA6C81" w:rsidRPr="00325BA6" w:rsidRDefault="00AA6C81" w:rsidP="00AA6C81">
                  <w:pPr>
                    <w:jc w:val="right"/>
                    <w:rPr>
                      <w:rFonts w:ascii="Arial" w:hAnsi="Arial"/>
                      <w:sz w:val="20"/>
                      <w:szCs w:val="20"/>
                    </w:rPr>
                  </w:pPr>
                  <w:r w:rsidRPr="00325BA6">
                    <w:rPr>
                      <w:rFonts w:ascii="Arial" w:hAnsi="Arial"/>
                      <w:sz w:val="20"/>
                      <w:szCs w:val="20"/>
                    </w:rPr>
                    <w:t>12.9</w:t>
                  </w:r>
                </w:p>
              </w:tc>
              <w:tc>
                <w:tcPr>
                  <w:tcW w:w="1729" w:type="dxa"/>
                  <w:vAlign w:val="center"/>
                </w:tcPr>
                <w:p w14:paraId="7D43BA2B" w14:textId="77777777" w:rsidR="00AA6C81" w:rsidRPr="007116DD" w:rsidRDefault="00AA6C81" w:rsidP="00AA6C81">
                  <w:pPr>
                    <w:jc w:val="right"/>
                    <w:rPr>
                      <w:rFonts w:ascii="Arial" w:hAnsi="Arial"/>
                      <w:sz w:val="20"/>
                    </w:rPr>
                  </w:pPr>
                  <w:r>
                    <w:rPr>
                      <w:rFonts w:ascii="Arial" w:hAnsi="Arial"/>
                      <w:sz w:val="20"/>
                    </w:rPr>
                    <w:t>16.6</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9FE81" w14:textId="77777777" w:rsidR="00AA6C81" w:rsidRPr="00DB0B0A" w:rsidRDefault="00AA6C81" w:rsidP="00AA6C81">
                  <w:pPr>
                    <w:jc w:val="right"/>
                    <w:rPr>
                      <w:rFonts w:ascii="Arial" w:hAnsi="Arial"/>
                      <w:color w:val="000000"/>
                      <w:sz w:val="20"/>
                      <w:szCs w:val="22"/>
                    </w:rPr>
                  </w:pPr>
                  <w:r w:rsidRPr="00DB0B0A">
                    <w:rPr>
                      <w:rFonts w:ascii="Arial" w:hAnsi="Arial"/>
                      <w:color w:val="000000"/>
                      <w:sz w:val="20"/>
                      <w:szCs w:val="22"/>
                    </w:rPr>
                    <w:t>3.7</w:t>
                  </w:r>
                </w:p>
              </w:tc>
            </w:tr>
            <w:tr w:rsidR="00AA6C81" w14:paraId="749F2D4A" w14:textId="77777777" w:rsidTr="00AA6C81">
              <w:trPr>
                <w:trHeight w:val="284"/>
                <w:jc w:val="center"/>
              </w:trPr>
              <w:tc>
                <w:tcPr>
                  <w:tcW w:w="1097" w:type="dxa"/>
                  <w:vAlign w:val="center"/>
                </w:tcPr>
                <w:p w14:paraId="12A9F64F" w14:textId="77777777" w:rsidR="00AA6C81" w:rsidRPr="007116DD" w:rsidRDefault="00AA6C81" w:rsidP="00AA6C81">
                  <w:pPr>
                    <w:jc w:val="center"/>
                    <w:rPr>
                      <w:rFonts w:ascii="Arial" w:hAnsi="Arial"/>
                      <w:sz w:val="20"/>
                    </w:rPr>
                  </w:pPr>
                  <w:r w:rsidRPr="007116DD">
                    <w:rPr>
                      <w:rFonts w:ascii="Arial" w:hAnsi="Arial"/>
                      <w:sz w:val="20"/>
                    </w:rPr>
                    <w:t>61+</w:t>
                  </w:r>
                </w:p>
              </w:tc>
              <w:tc>
                <w:tcPr>
                  <w:tcW w:w="1418" w:type="dxa"/>
                  <w:vAlign w:val="center"/>
                </w:tcPr>
                <w:p w14:paraId="1D5AE87A" w14:textId="77777777" w:rsidR="00AA6C81" w:rsidRPr="00325BA6" w:rsidRDefault="00AA6C81" w:rsidP="00AA6C81">
                  <w:pPr>
                    <w:jc w:val="right"/>
                    <w:rPr>
                      <w:rFonts w:ascii="Arial" w:hAnsi="Arial"/>
                      <w:sz w:val="20"/>
                      <w:szCs w:val="20"/>
                    </w:rPr>
                  </w:pPr>
                  <w:r w:rsidRPr="00325BA6">
                    <w:rPr>
                      <w:rFonts w:ascii="Arial" w:hAnsi="Arial"/>
                      <w:sz w:val="20"/>
                      <w:szCs w:val="20"/>
                    </w:rPr>
                    <w:t>19.2</w:t>
                  </w:r>
                </w:p>
              </w:tc>
              <w:tc>
                <w:tcPr>
                  <w:tcW w:w="1729" w:type="dxa"/>
                  <w:vAlign w:val="center"/>
                </w:tcPr>
                <w:p w14:paraId="43955781" w14:textId="77777777" w:rsidR="00AA6C81" w:rsidRPr="007116DD" w:rsidRDefault="00AA6C81" w:rsidP="00AA6C81">
                  <w:pPr>
                    <w:jc w:val="right"/>
                    <w:rPr>
                      <w:rFonts w:ascii="Arial" w:hAnsi="Arial"/>
                      <w:sz w:val="20"/>
                    </w:rPr>
                  </w:pPr>
                  <w:r>
                    <w:rPr>
                      <w:rFonts w:ascii="Arial" w:hAnsi="Arial"/>
                      <w:sz w:val="20"/>
                    </w:rPr>
                    <w:t>45.7</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4AB8C5" w14:textId="77777777" w:rsidR="00AA6C81" w:rsidRPr="00DB0B0A" w:rsidRDefault="00AA6C81" w:rsidP="00AA6C81">
                  <w:pPr>
                    <w:jc w:val="right"/>
                    <w:rPr>
                      <w:rFonts w:ascii="Arial" w:hAnsi="Arial"/>
                      <w:color w:val="000000"/>
                      <w:sz w:val="20"/>
                      <w:szCs w:val="22"/>
                    </w:rPr>
                  </w:pPr>
                  <w:r w:rsidRPr="00DB0B0A">
                    <w:rPr>
                      <w:rFonts w:ascii="Arial" w:hAnsi="Arial"/>
                      <w:color w:val="000000"/>
                      <w:sz w:val="20"/>
                      <w:szCs w:val="22"/>
                    </w:rPr>
                    <w:t>26.5</w:t>
                  </w:r>
                </w:p>
              </w:tc>
            </w:tr>
          </w:tbl>
          <w:p w14:paraId="199953EA" w14:textId="77777777" w:rsidR="00AA6C81" w:rsidRPr="00C85323" w:rsidRDefault="00AA6C81" w:rsidP="00AA6C81">
            <w:pPr>
              <w:jc w:val="both"/>
              <w:rPr>
                <w:rFonts w:ascii="Arial" w:hAnsi="Arial"/>
                <w:sz w:val="16"/>
              </w:rPr>
            </w:pPr>
          </w:p>
          <w:p w14:paraId="2A34FE5E" w14:textId="77777777" w:rsidR="00AA6C81" w:rsidRDefault="00AA6C81" w:rsidP="00AA6C81">
            <w:pPr>
              <w:jc w:val="both"/>
              <w:rPr>
                <w:rFonts w:ascii="Arial" w:hAnsi="Arial"/>
                <w:sz w:val="22"/>
              </w:rPr>
            </w:pPr>
            <w:r>
              <w:rPr>
                <w:rFonts w:ascii="Arial" w:hAnsi="Arial"/>
                <w:sz w:val="22"/>
              </w:rPr>
              <w:t>Older people are disproportionately likely to be CTR recipients, although the majority of these applicants will be protected from the proposed changes to the scheme.</w:t>
            </w:r>
          </w:p>
          <w:p w14:paraId="4E0F2521" w14:textId="77777777" w:rsidR="00AA6C81" w:rsidRDefault="00AA6C81" w:rsidP="00AA6C81">
            <w:pPr>
              <w:jc w:val="both"/>
              <w:rPr>
                <w:rFonts w:ascii="Arial" w:hAnsi="Arial"/>
                <w:sz w:val="20"/>
              </w:rPr>
            </w:pPr>
          </w:p>
          <w:p w14:paraId="361039AE" w14:textId="77777777" w:rsidR="00AA6C81" w:rsidRDefault="00AA6C81" w:rsidP="00AA6C81">
            <w:pPr>
              <w:jc w:val="both"/>
              <w:rPr>
                <w:rFonts w:ascii="Arial" w:hAnsi="Arial"/>
                <w:sz w:val="20"/>
              </w:rPr>
            </w:pPr>
          </w:p>
          <w:p w14:paraId="2781A81F" w14:textId="77777777" w:rsidR="00AA6C81" w:rsidRPr="007116DD" w:rsidRDefault="00AA6C81" w:rsidP="00AA6C81">
            <w:pPr>
              <w:jc w:val="both"/>
              <w:rPr>
                <w:rFonts w:ascii="Arial" w:hAnsi="Arial"/>
                <w:sz w:val="20"/>
              </w:rPr>
            </w:pPr>
          </w:p>
          <w:p w14:paraId="341B73EC" w14:textId="77777777" w:rsidR="00AA6C81" w:rsidRDefault="00AA6C81" w:rsidP="00AA6C81">
            <w:pPr>
              <w:jc w:val="both"/>
              <w:rPr>
                <w:rFonts w:ascii="Arial" w:hAnsi="Arial"/>
                <w:b/>
                <w:sz w:val="22"/>
              </w:rPr>
            </w:pPr>
            <w:r>
              <w:rPr>
                <w:rFonts w:ascii="Arial" w:hAnsi="Arial"/>
                <w:b/>
                <w:sz w:val="22"/>
              </w:rPr>
              <w:t>Older people:</w:t>
            </w:r>
          </w:p>
          <w:p w14:paraId="1C3AE33A" w14:textId="77777777" w:rsidR="00AA6C81" w:rsidRDefault="00AA6C81" w:rsidP="00AA6C81">
            <w:pPr>
              <w:jc w:val="both"/>
              <w:rPr>
                <w:rFonts w:ascii="Arial" w:hAnsi="Arial"/>
                <w:b/>
                <w:sz w:val="22"/>
              </w:rPr>
            </w:pPr>
          </w:p>
          <w:p w14:paraId="1A2BEE48" w14:textId="77777777" w:rsidR="00AA6C81" w:rsidRDefault="00AA6C81" w:rsidP="00AA6C81">
            <w:pPr>
              <w:jc w:val="both"/>
              <w:rPr>
                <w:rFonts w:ascii="Arial" w:hAnsi="Arial"/>
                <w:sz w:val="22"/>
              </w:rPr>
            </w:pPr>
            <w:r w:rsidRPr="004058DD">
              <w:rPr>
                <w:rFonts w:ascii="Arial" w:hAnsi="Arial"/>
                <w:sz w:val="22"/>
              </w:rPr>
              <w:t xml:space="preserve">Based on claimant information as </w:t>
            </w:r>
            <w:r>
              <w:rPr>
                <w:rFonts w:ascii="Arial" w:hAnsi="Arial"/>
                <w:sz w:val="22"/>
              </w:rPr>
              <w:t>at August 2018, there are 3,287 Pension</w:t>
            </w:r>
            <w:r w:rsidRPr="004058DD">
              <w:rPr>
                <w:rFonts w:ascii="Arial" w:hAnsi="Arial"/>
                <w:sz w:val="22"/>
              </w:rPr>
              <w:t>able Age recipients of CTR.</w:t>
            </w:r>
            <w:r>
              <w:rPr>
                <w:rFonts w:ascii="Arial" w:hAnsi="Arial"/>
                <w:sz w:val="22"/>
              </w:rPr>
              <w:t xml:space="preserve">  This is 39% of total claimants.  Claimants of pensionable age are protected by Government regulation from any changes introduced by LBRuT. </w:t>
            </w:r>
          </w:p>
          <w:p w14:paraId="2260FB34" w14:textId="77777777" w:rsidR="00AA6C81" w:rsidRDefault="00AA6C81" w:rsidP="00AA6C81">
            <w:pPr>
              <w:jc w:val="both"/>
              <w:rPr>
                <w:rFonts w:ascii="Arial" w:hAnsi="Arial"/>
                <w:sz w:val="22"/>
              </w:rPr>
            </w:pPr>
          </w:p>
          <w:p w14:paraId="7D91B275" w14:textId="77777777" w:rsidR="00AA6C81" w:rsidRDefault="00AA6C81" w:rsidP="00AA6C81">
            <w:pPr>
              <w:jc w:val="both"/>
              <w:rPr>
                <w:rFonts w:ascii="Arial" w:hAnsi="Arial"/>
                <w:sz w:val="22"/>
              </w:rPr>
            </w:pPr>
          </w:p>
          <w:p w14:paraId="59783806" w14:textId="77777777" w:rsidR="00AA6C81" w:rsidRPr="007116DD" w:rsidRDefault="00AA6C81" w:rsidP="00AA6C81">
            <w:pPr>
              <w:jc w:val="both"/>
              <w:rPr>
                <w:rFonts w:ascii="Arial" w:hAnsi="Arial"/>
                <w:sz w:val="20"/>
              </w:rPr>
            </w:pPr>
          </w:p>
          <w:p w14:paraId="740A3264" w14:textId="77777777" w:rsidR="00AA6C81" w:rsidRDefault="00AA6C81" w:rsidP="00AA6C81">
            <w:pPr>
              <w:jc w:val="both"/>
              <w:rPr>
                <w:rFonts w:ascii="Arial" w:hAnsi="Arial"/>
                <w:b/>
                <w:sz w:val="22"/>
              </w:rPr>
            </w:pPr>
            <w:r>
              <w:rPr>
                <w:rFonts w:ascii="Arial" w:hAnsi="Arial"/>
                <w:b/>
                <w:sz w:val="22"/>
              </w:rPr>
              <w:t>Children and young people:</w:t>
            </w:r>
          </w:p>
          <w:p w14:paraId="463C1BF7" w14:textId="77777777" w:rsidR="00AA6C81" w:rsidRDefault="00AA6C81" w:rsidP="00AA6C81">
            <w:pPr>
              <w:jc w:val="both"/>
              <w:rPr>
                <w:rFonts w:ascii="Arial" w:hAnsi="Arial"/>
                <w:sz w:val="22"/>
              </w:rPr>
            </w:pPr>
            <w:r w:rsidRPr="00DB0B0A">
              <w:rPr>
                <w:rFonts w:ascii="Arial" w:hAnsi="Arial"/>
                <w:sz w:val="22"/>
              </w:rPr>
              <w:t>Latest data (2017 ONS) estimates that there are 48,677 residents aged under 20 in the borough, analysed as follows:</w:t>
            </w:r>
          </w:p>
          <w:p w14:paraId="0B09B377" w14:textId="77777777" w:rsidR="00AA6C81" w:rsidRDefault="00AA6C81" w:rsidP="00AA6C81">
            <w:pPr>
              <w:jc w:val="both"/>
              <w:rPr>
                <w:rFonts w:ascii="Arial" w:hAnsi="Arial"/>
                <w:sz w:val="22"/>
              </w:rPr>
            </w:pPr>
          </w:p>
          <w:tbl>
            <w:tblPr>
              <w:tblStyle w:val="TableGrid"/>
              <w:tblW w:w="0" w:type="auto"/>
              <w:jc w:val="center"/>
              <w:tblLook w:val="04A0" w:firstRow="1" w:lastRow="0" w:firstColumn="1" w:lastColumn="0" w:noHBand="0" w:noVBand="1"/>
            </w:tblPr>
            <w:tblGrid>
              <w:gridCol w:w="1267"/>
              <w:gridCol w:w="1440"/>
              <w:gridCol w:w="1559"/>
            </w:tblGrid>
            <w:tr w:rsidR="00AA6C81" w14:paraId="74B655D6" w14:textId="77777777" w:rsidTr="00AA6C81">
              <w:trPr>
                <w:trHeight w:val="361"/>
                <w:jc w:val="center"/>
              </w:trPr>
              <w:tc>
                <w:tcPr>
                  <w:tcW w:w="1267" w:type="dxa"/>
                  <w:shd w:val="clear" w:color="auto" w:fill="BFBFBF" w:themeFill="background1" w:themeFillShade="BF"/>
                  <w:vAlign w:val="center"/>
                </w:tcPr>
                <w:p w14:paraId="0E36A2D1" w14:textId="77777777" w:rsidR="00AA6C81" w:rsidRPr="007116DD" w:rsidRDefault="00AA6C81" w:rsidP="00AA6C81">
                  <w:pPr>
                    <w:jc w:val="center"/>
                    <w:rPr>
                      <w:rFonts w:ascii="Arial" w:hAnsi="Arial"/>
                      <w:b/>
                      <w:color w:val="FFFFFF" w:themeColor="background1"/>
                      <w:sz w:val="20"/>
                    </w:rPr>
                  </w:pPr>
                  <w:r w:rsidRPr="005D3A2B">
                    <w:rPr>
                      <w:rFonts w:ascii="Arial" w:hAnsi="Arial"/>
                      <w:b/>
                      <w:sz w:val="20"/>
                    </w:rPr>
                    <w:t>Age</w:t>
                  </w:r>
                </w:p>
              </w:tc>
              <w:tc>
                <w:tcPr>
                  <w:tcW w:w="1440" w:type="dxa"/>
                  <w:shd w:val="clear" w:color="auto" w:fill="BFBFBF" w:themeFill="background1" w:themeFillShade="BF"/>
                  <w:vAlign w:val="center"/>
                </w:tcPr>
                <w:p w14:paraId="6110E372" w14:textId="77777777" w:rsidR="00AA6C81" w:rsidRPr="007116DD" w:rsidRDefault="00AA6C81" w:rsidP="00AA6C81">
                  <w:pPr>
                    <w:jc w:val="center"/>
                    <w:rPr>
                      <w:rFonts w:ascii="Arial" w:hAnsi="Arial"/>
                      <w:b/>
                      <w:sz w:val="20"/>
                    </w:rPr>
                  </w:pPr>
                  <w:r w:rsidRPr="007116DD">
                    <w:rPr>
                      <w:rFonts w:ascii="Arial" w:hAnsi="Arial"/>
                      <w:b/>
                      <w:sz w:val="20"/>
                    </w:rPr>
                    <w:t>Residents</w:t>
                  </w:r>
                </w:p>
              </w:tc>
              <w:tc>
                <w:tcPr>
                  <w:tcW w:w="1559" w:type="dxa"/>
                  <w:shd w:val="clear" w:color="auto" w:fill="BFBFBF" w:themeFill="background1" w:themeFillShade="BF"/>
                  <w:vAlign w:val="center"/>
                </w:tcPr>
                <w:p w14:paraId="5FF27D1B" w14:textId="77777777" w:rsidR="00AA6C81" w:rsidRPr="007116DD" w:rsidRDefault="00AA6C81" w:rsidP="00AA6C81">
                  <w:pPr>
                    <w:jc w:val="center"/>
                    <w:rPr>
                      <w:rFonts w:ascii="Arial" w:hAnsi="Arial"/>
                      <w:b/>
                      <w:sz w:val="20"/>
                    </w:rPr>
                  </w:pPr>
                  <w:r w:rsidRPr="007116DD">
                    <w:rPr>
                      <w:rFonts w:ascii="Arial" w:hAnsi="Arial"/>
                      <w:b/>
                      <w:sz w:val="20"/>
                    </w:rPr>
                    <w:t>% of LBRuT</w:t>
                  </w:r>
                  <w:r>
                    <w:rPr>
                      <w:rFonts w:ascii="Arial" w:hAnsi="Arial"/>
                      <w:b/>
                      <w:sz w:val="20"/>
                    </w:rPr>
                    <w:t xml:space="preserve"> population</w:t>
                  </w:r>
                </w:p>
              </w:tc>
            </w:tr>
            <w:tr w:rsidR="00AA6C81" w14:paraId="536CE56D" w14:textId="77777777" w:rsidTr="00AA6C81">
              <w:trPr>
                <w:trHeight w:val="284"/>
                <w:jc w:val="center"/>
              </w:trPr>
              <w:tc>
                <w:tcPr>
                  <w:tcW w:w="1267" w:type="dxa"/>
                  <w:vAlign w:val="center"/>
                </w:tcPr>
                <w:p w14:paraId="1207FB90" w14:textId="77777777" w:rsidR="00AA6C81" w:rsidRPr="00630E15" w:rsidRDefault="00AA6C81" w:rsidP="00AA6C81">
                  <w:pPr>
                    <w:jc w:val="center"/>
                    <w:rPr>
                      <w:rFonts w:ascii="Arial" w:hAnsi="Arial"/>
                      <w:sz w:val="20"/>
                    </w:rPr>
                  </w:pPr>
                  <w:r w:rsidRPr="00630E15">
                    <w:rPr>
                      <w:rFonts w:ascii="Arial" w:hAnsi="Arial"/>
                      <w:sz w:val="20"/>
                    </w:rPr>
                    <w:t>0-4</w:t>
                  </w:r>
                </w:p>
              </w:tc>
              <w:tc>
                <w:tcPr>
                  <w:tcW w:w="1440" w:type="dxa"/>
                  <w:vAlign w:val="center"/>
                </w:tcPr>
                <w:p w14:paraId="574A90DD" w14:textId="77777777" w:rsidR="00AA6C81" w:rsidRPr="00DB0B0A" w:rsidRDefault="00AA6C81" w:rsidP="00AA6C81">
                  <w:pPr>
                    <w:jc w:val="right"/>
                    <w:rPr>
                      <w:rFonts w:ascii="Arial" w:hAnsi="Arial"/>
                      <w:sz w:val="20"/>
                      <w:szCs w:val="20"/>
                    </w:rPr>
                  </w:pPr>
                  <w:r w:rsidRPr="00DB0B0A">
                    <w:rPr>
                      <w:rFonts w:ascii="Arial" w:hAnsi="Arial"/>
                      <w:sz w:val="20"/>
                      <w:szCs w:val="20"/>
                    </w:rPr>
                    <w:t>12,982</w:t>
                  </w:r>
                </w:p>
              </w:tc>
              <w:tc>
                <w:tcPr>
                  <w:tcW w:w="1559" w:type="dxa"/>
                  <w:vAlign w:val="center"/>
                </w:tcPr>
                <w:p w14:paraId="62A4480C" w14:textId="77777777" w:rsidR="00AA6C81" w:rsidRPr="00DB0B0A" w:rsidRDefault="00AA6C81" w:rsidP="00AA6C81">
                  <w:pPr>
                    <w:jc w:val="right"/>
                    <w:rPr>
                      <w:rFonts w:ascii="Arial" w:hAnsi="Arial"/>
                      <w:sz w:val="20"/>
                      <w:szCs w:val="20"/>
                    </w:rPr>
                  </w:pPr>
                  <w:r>
                    <w:rPr>
                      <w:rFonts w:ascii="Arial" w:hAnsi="Arial"/>
                      <w:sz w:val="20"/>
                      <w:szCs w:val="20"/>
                    </w:rPr>
                    <w:t>6.6</w:t>
                  </w:r>
                </w:p>
              </w:tc>
            </w:tr>
            <w:tr w:rsidR="00AA6C81" w14:paraId="31C3F7B9" w14:textId="77777777" w:rsidTr="00AA6C81">
              <w:trPr>
                <w:trHeight w:val="284"/>
                <w:jc w:val="center"/>
              </w:trPr>
              <w:tc>
                <w:tcPr>
                  <w:tcW w:w="1267" w:type="dxa"/>
                  <w:vAlign w:val="center"/>
                </w:tcPr>
                <w:p w14:paraId="13AA641C" w14:textId="77777777" w:rsidR="00AA6C81" w:rsidRPr="00630E15" w:rsidRDefault="00AA6C81" w:rsidP="00AA6C81">
                  <w:pPr>
                    <w:jc w:val="center"/>
                    <w:rPr>
                      <w:rFonts w:ascii="Arial" w:hAnsi="Arial"/>
                      <w:sz w:val="20"/>
                    </w:rPr>
                  </w:pPr>
                  <w:r w:rsidRPr="00630E15">
                    <w:rPr>
                      <w:rFonts w:ascii="Arial" w:hAnsi="Arial"/>
                      <w:sz w:val="20"/>
                    </w:rPr>
                    <w:t>5-9</w:t>
                  </w:r>
                </w:p>
              </w:tc>
              <w:tc>
                <w:tcPr>
                  <w:tcW w:w="1440" w:type="dxa"/>
                  <w:vAlign w:val="center"/>
                </w:tcPr>
                <w:p w14:paraId="0ACF5407" w14:textId="77777777" w:rsidR="00AA6C81" w:rsidRPr="00DB0B0A" w:rsidRDefault="00AA6C81" w:rsidP="00AA6C81">
                  <w:pPr>
                    <w:jc w:val="right"/>
                    <w:rPr>
                      <w:rFonts w:ascii="Arial" w:hAnsi="Arial"/>
                      <w:sz w:val="20"/>
                      <w:szCs w:val="20"/>
                    </w:rPr>
                  </w:pPr>
                  <w:r w:rsidRPr="00DB0B0A">
                    <w:rPr>
                      <w:rFonts w:ascii="Arial" w:hAnsi="Arial"/>
                      <w:sz w:val="20"/>
                      <w:szCs w:val="20"/>
                    </w:rPr>
                    <w:t>14,363</w:t>
                  </w:r>
                </w:p>
              </w:tc>
              <w:tc>
                <w:tcPr>
                  <w:tcW w:w="1559" w:type="dxa"/>
                  <w:vAlign w:val="center"/>
                </w:tcPr>
                <w:p w14:paraId="4ED73974" w14:textId="77777777" w:rsidR="00AA6C81" w:rsidRPr="00DB0B0A" w:rsidRDefault="00AA6C81" w:rsidP="00AA6C81">
                  <w:pPr>
                    <w:jc w:val="right"/>
                    <w:rPr>
                      <w:rFonts w:ascii="Arial" w:hAnsi="Arial"/>
                      <w:sz w:val="20"/>
                      <w:szCs w:val="20"/>
                    </w:rPr>
                  </w:pPr>
                  <w:r>
                    <w:rPr>
                      <w:rFonts w:ascii="Arial" w:hAnsi="Arial"/>
                      <w:sz w:val="20"/>
                      <w:szCs w:val="20"/>
                    </w:rPr>
                    <w:t>7.3</w:t>
                  </w:r>
                </w:p>
              </w:tc>
            </w:tr>
            <w:tr w:rsidR="00AA6C81" w14:paraId="10ACBFD4" w14:textId="77777777" w:rsidTr="00AA6C81">
              <w:trPr>
                <w:trHeight w:val="284"/>
                <w:jc w:val="center"/>
              </w:trPr>
              <w:tc>
                <w:tcPr>
                  <w:tcW w:w="1267" w:type="dxa"/>
                  <w:vAlign w:val="center"/>
                </w:tcPr>
                <w:p w14:paraId="46035337" w14:textId="77777777" w:rsidR="00AA6C81" w:rsidRPr="00630E15" w:rsidRDefault="00AA6C81" w:rsidP="00AA6C81">
                  <w:pPr>
                    <w:jc w:val="center"/>
                    <w:rPr>
                      <w:rFonts w:ascii="Arial" w:hAnsi="Arial"/>
                      <w:sz w:val="20"/>
                    </w:rPr>
                  </w:pPr>
                  <w:r w:rsidRPr="00630E15">
                    <w:rPr>
                      <w:rFonts w:ascii="Arial" w:hAnsi="Arial"/>
                      <w:sz w:val="20"/>
                    </w:rPr>
                    <w:t>10-14</w:t>
                  </w:r>
                </w:p>
              </w:tc>
              <w:tc>
                <w:tcPr>
                  <w:tcW w:w="1440" w:type="dxa"/>
                  <w:vAlign w:val="center"/>
                </w:tcPr>
                <w:p w14:paraId="089C4B1D" w14:textId="77777777" w:rsidR="00AA6C81" w:rsidRPr="00DB0B0A" w:rsidRDefault="00AA6C81" w:rsidP="00AA6C81">
                  <w:pPr>
                    <w:jc w:val="right"/>
                    <w:rPr>
                      <w:rFonts w:ascii="Arial" w:hAnsi="Arial"/>
                      <w:sz w:val="20"/>
                      <w:szCs w:val="20"/>
                    </w:rPr>
                  </w:pPr>
                  <w:r w:rsidRPr="00DB0B0A">
                    <w:rPr>
                      <w:rFonts w:ascii="Arial" w:hAnsi="Arial"/>
                      <w:sz w:val="20"/>
                      <w:szCs w:val="20"/>
                    </w:rPr>
                    <w:t>11,737</w:t>
                  </w:r>
                </w:p>
              </w:tc>
              <w:tc>
                <w:tcPr>
                  <w:tcW w:w="1559" w:type="dxa"/>
                  <w:vAlign w:val="center"/>
                </w:tcPr>
                <w:p w14:paraId="6EFA3AC0" w14:textId="77777777" w:rsidR="00AA6C81" w:rsidRPr="00DB0B0A" w:rsidRDefault="00AA6C81" w:rsidP="00AA6C81">
                  <w:pPr>
                    <w:jc w:val="right"/>
                    <w:rPr>
                      <w:rFonts w:ascii="Arial" w:hAnsi="Arial"/>
                      <w:sz w:val="20"/>
                      <w:szCs w:val="20"/>
                    </w:rPr>
                  </w:pPr>
                  <w:r>
                    <w:rPr>
                      <w:rFonts w:ascii="Arial" w:hAnsi="Arial"/>
                      <w:sz w:val="20"/>
                      <w:szCs w:val="20"/>
                    </w:rPr>
                    <w:t>6.0</w:t>
                  </w:r>
                </w:p>
              </w:tc>
            </w:tr>
            <w:tr w:rsidR="00AA6C81" w14:paraId="4DD13449" w14:textId="77777777" w:rsidTr="00AA6C81">
              <w:trPr>
                <w:trHeight w:val="284"/>
                <w:jc w:val="center"/>
              </w:trPr>
              <w:tc>
                <w:tcPr>
                  <w:tcW w:w="1267" w:type="dxa"/>
                  <w:vAlign w:val="center"/>
                </w:tcPr>
                <w:p w14:paraId="4E47E708" w14:textId="77777777" w:rsidR="00AA6C81" w:rsidRPr="00630E15" w:rsidRDefault="00AA6C81" w:rsidP="00AA6C81">
                  <w:pPr>
                    <w:jc w:val="center"/>
                    <w:rPr>
                      <w:rFonts w:ascii="Arial" w:hAnsi="Arial"/>
                      <w:sz w:val="20"/>
                    </w:rPr>
                  </w:pPr>
                  <w:r w:rsidRPr="00630E15">
                    <w:rPr>
                      <w:rFonts w:ascii="Arial" w:hAnsi="Arial"/>
                      <w:sz w:val="20"/>
                    </w:rPr>
                    <w:t>15-19</w:t>
                  </w:r>
                </w:p>
              </w:tc>
              <w:tc>
                <w:tcPr>
                  <w:tcW w:w="1440" w:type="dxa"/>
                  <w:vAlign w:val="center"/>
                </w:tcPr>
                <w:p w14:paraId="3776EE88" w14:textId="77777777" w:rsidR="00AA6C81" w:rsidRPr="00DB0B0A" w:rsidRDefault="00AA6C81" w:rsidP="00AA6C81">
                  <w:pPr>
                    <w:jc w:val="right"/>
                    <w:rPr>
                      <w:rFonts w:ascii="Arial" w:hAnsi="Arial"/>
                      <w:sz w:val="20"/>
                      <w:szCs w:val="20"/>
                    </w:rPr>
                  </w:pPr>
                  <w:r w:rsidRPr="00DB0B0A">
                    <w:rPr>
                      <w:rFonts w:ascii="Arial" w:hAnsi="Arial"/>
                      <w:sz w:val="20"/>
                      <w:szCs w:val="20"/>
                    </w:rPr>
                    <w:t>9,595</w:t>
                  </w:r>
                </w:p>
              </w:tc>
              <w:tc>
                <w:tcPr>
                  <w:tcW w:w="1559" w:type="dxa"/>
                  <w:vAlign w:val="center"/>
                </w:tcPr>
                <w:p w14:paraId="68A99BF7" w14:textId="77777777" w:rsidR="00AA6C81" w:rsidRPr="00DB0B0A" w:rsidRDefault="00AA6C81" w:rsidP="00AA6C81">
                  <w:pPr>
                    <w:jc w:val="right"/>
                    <w:rPr>
                      <w:rFonts w:ascii="Arial" w:hAnsi="Arial"/>
                      <w:sz w:val="20"/>
                      <w:szCs w:val="20"/>
                    </w:rPr>
                  </w:pPr>
                  <w:r>
                    <w:rPr>
                      <w:rFonts w:ascii="Arial" w:hAnsi="Arial"/>
                      <w:sz w:val="20"/>
                      <w:szCs w:val="20"/>
                    </w:rPr>
                    <w:t>4.9</w:t>
                  </w:r>
                </w:p>
              </w:tc>
            </w:tr>
            <w:tr w:rsidR="00AA6C81" w14:paraId="06FF16E7" w14:textId="77777777" w:rsidTr="00AA6C81">
              <w:trPr>
                <w:trHeight w:val="284"/>
                <w:jc w:val="center"/>
              </w:trPr>
              <w:tc>
                <w:tcPr>
                  <w:tcW w:w="1267" w:type="dxa"/>
                  <w:vAlign w:val="center"/>
                </w:tcPr>
                <w:p w14:paraId="6DCFC163" w14:textId="77777777" w:rsidR="00AA6C81" w:rsidRPr="00630E15" w:rsidRDefault="00AA6C81" w:rsidP="00AA6C81">
                  <w:pPr>
                    <w:jc w:val="center"/>
                    <w:rPr>
                      <w:rFonts w:ascii="Arial" w:hAnsi="Arial"/>
                      <w:b/>
                      <w:sz w:val="20"/>
                    </w:rPr>
                  </w:pPr>
                  <w:r w:rsidRPr="00630E15">
                    <w:rPr>
                      <w:rFonts w:ascii="Arial" w:hAnsi="Arial"/>
                      <w:b/>
                      <w:sz w:val="20"/>
                    </w:rPr>
                    <w:t>0-19</w:t>
                  </w:r>
                </w:p>
              </w:tc>
              <w:tc>
                <w:tcPr>
                  <w:tcW w:w="1440" w:type="dxa"/>
                  <w:vAlign w:val="center"/>
                </w:tcPr>
                <w:p w14:paraId="563AF03E" w14:textId="77777777" w:rsidR="00AA6C81" w:rsidRPr="00DB0B0A" w:rsidRDefault="00AA6C81" w:rsidP="00AA6C81">
                  <w:pPr>
                    <w:jc w:val="right"/>
                    <w:rPr>
                      <w:rFonts w:ascii="Arial" w:hAnsi="Arial"/>
                      <w:b/>
                      <w:sz w:val="20"/>
                    </w:rPr>
                  </w:pPr>
                  <w:r w:rsidRPr="00DB0B0A">
                    <w:rPr>
                      <w:rFonts w:ascii="Arial" w:hAnsi="Arial"/>
                      <w:b/>
                      <w:sz w:val="20"/>
                    </w:rPr>
                    <w:t>48,677</w:t>
                  </w:r>
                </w:p>
              </w:tc>
              <w:tc>
                <w:tcPr>
                  <w:tcW w:w="1559" w:type="dxa"/>
                  <w:vAlign w:val="center"/>
                </w:tcPr>
                <w:p w14:paraId="2E1F6F57" w14:textId="77777777" w:rsidR="00AA6C81" w:rsidRPr="00DB0B0A" w:rsidRDefault="00AA6C81" w:rsidP="00AA6C81">
                  <w:pPr>
                    <w:jc w:val="right"/>
                    <w:rPr>
                      <w:rFonts w:ascii="Arial" w:hAnsi="Arial"/>
                      <w:b/>
                      <w:sz w:val="20"/>
                    </w:rPr>
                  </w:pPr>
                  <w:r>
                    <w:rPr>
                      <w:rFonts w:ascii="Arial" w:hAnsi="Arial"/>
                      <w:b/>
                      <w:sz w:val="20"/>
                    </w:rPr>
                    <w:t>24.9</w:t>
                  </w:r>
                </w:p>
              </w:tc>
            </w:tr>
          </w:tbl>
          <w:p w14:paraId="031E5B89" w14:textId="77777777" w:rsidR="00AA6C81" w:rsidRPr="003C5B48" w:rsidRDefault="00AA6C81" w:rsidP="00AA6C81">
            <w:pPr>
              <w:jc w:val="both"/>
              <w:rPr>
                <w:rFonts w:ascii="Arial" w:hAnsi="Arial"/>
                <w:sz w:val="22"/>
              </w:rPr>
            </w:pPr>
          </w:p>
          <w:p w14:paraId="3EAA526A" w14:textId="77777777" w:rsidR="00AA6C81" w:rsidRPr="007116DD" w:rsidRDefault="00AA6C81" w:rsidP="00AA6C81">
            <w:pPr>
              <w:jc w:val="both"/>
              <w:rPr>
                <w:rFonts w:ascii="Arial" w:hAnsi="Arial"/>
                <w:sz w:val="20"/>
              </w:rPr>
            </w:pPr>
          </w:p>
          <w:p w14:paraId="27287677" w14:textId="77777777" w:rsidR="00AA6C81" w:rsidRPr="007116DD" w:rsidRDefault="00AA6C81" w:rsidP="00AA6C81">
            <w:pPr>
              <w:jc w:val="both"/>
              <w:rPr>
                <w:rFonts w:ascii="Arial" w:hAnsi="Arial"/>
                <w:sz w:val="20"/>
              </w:rPr>
            </w:pPr>
          </w:p>
          <w:p w14:paraId="5655886C" w14:textId="77777777" w:rsidR="00AA6C81" w:rsidRDefault="00AA6C81" w:rsidP="00AA6C81">
            <w:pPr>
              <w:jc w:val="both"/>
              <w:rPr>
                <w:rFonts w:ascii="Arial" w:hAnsi="Arial"/>
                <w:b/>
                <w:sz w:val="22"/>
              </w:rPr>
            </w:pPr>
            <w:r>
              <w:rPr>
                <w:rFonts w:ascii="Arial" w:hAnsi="Arial"/>
                <w:b/>
                <w:sz w:val="22"/>
              </w:rPr>
              <w:t>Recipients with children:</w:t>
            </w:r>
          </w:p>
          <w:p w14:paraId="2A5F853B" w14:textId="77777777" w:rsidR="00AA6C81" w:rsidRDefault="00AA6C81" w:rsidP="00AA6C81">
            <w:pPr>
              <w:jc w:val="both"/>
              <w:rPr>
                <w:rFonts w:ascii="Arial" w:hAnsi="Arial"/>
                <w:sz w:val="22"/>
              </w:rPr>
            </w:pPr>
            <w:r>
              <w:rPr>
                <w:rFonts w:ascii="Arial" w:hAnsi="Arial"/>
                <w:sz w:val="22"/>
              </w:rPr>
              <w:lastRenderedPageBreak/>
              <w:t>Under the current CTR scheme, families with children receive additional premiums to reflect their needs. Child Benefit is completely disregarded in the assessment of income and lone parents receive additional income disregards. Plus note re other changes re no of children</w:t>
            </w:r>
          </w:p>
          <w:p w14:paraId="2D86F4C9" w14:textId="77777777" w:rsidR="00AA6C81" w:rsidRDefault="00AA6C81" w:rsidP="00AA6C81">
            <w:pPr>
              <w:jc w:val="both"/>
              <w:rPr>
                <w:rFonts w:ascii="Arial" w:hAnsi="Arial"/>
                <w:sz w:val="22"/>
              </w:rPr>
            </w:pPr>
          </w:p>
          <w:p w14:paraId="2D69A062" w14:textId="77777777" w:rsidR="00AA6C81" w:rsidRPr="00573F4F" w:rsidRDefault="00AA6C81" w:rsidP="00AA6C81">
            <w:pPr>
              <w:jc w:val="both"/>
              <w:rPr>
                <w:rFonts w:ascii="Arial" w:hAnsi="Arial"/>
                <w:sz w:val="22"/>
              </w:rPr>
            </w:pPr>
            <w:r w:rsidRPr="00573F4F">
              <w:rPr>
                <w:rFonts w:ascii="Arial" w:hAnsi="Arial"/>
                <w:sz w:val="22"/>
              </w:rPr>
              <w:t xml:space="preserve">Approximately </w:t>
            </w:r>
            <w:r>
              <w:rPr>
                <w:rFonts w:ascii="Arial" w:hAnsi="Arial"/>
                <w:sz w:val="22"/>
              </w:rPr>
              <w:t>61</w:t>
            </w:r>
            <w:r w:rsidRPr="00573F4F">
              <w:rPr>
                <w:rFonts w:ascii="Arial" w:hAnsi="Arial"/>
                <w:sz w:val="22"/>
              </w:rPr>
              <w:t xml:space="preserve">% of working-age recipients of CTR are families with one or more dependent children. This equates to </w:t>
            </w:r>
            <w:r>
              <w:rPr>
                <w:rFonts w:ascii="Arial" w:hAnsi="Arial"/>
                <w:sz w:val="22"/>
              </w:rPr>
              <w:t>1,575</w:t>
            </w:r>
            <w:r w:rsidRPr="00573F4F">
              <w:rPr>
                <w:rFonts w:ascii="Arial" w:hAnsi="Arial"/>
                <w:sz w:val="22"/>
              </w:rPr>
              <w:t xml:space="preserve"> families with </w:t>
            </w:r>
            <w:r>
              <w:rPr>
                <w:rFonts w:ascii="Arial" w:hAnsi="Arial"/>
                <w:sz w:val="22"/>
              </w:rPr>
              <w:t>2,859</w:t>
            </w:r>
            <w:r w:rsidRPr="00573F4F">
              <w:rPr>
                <w:rFonts w:ascii="Arial" w:hAnsi="Arial"/>
                <w:sz w:val="22"/>
              </w:rPr>
              <w:t xml:space="preserve"> children.  </w:t>
            </w:r>
          </w:p>
          <w:p w14:paraId="483A8F84" w14:textId="77777777" w:rsidR="00472D5D" w:rsidRDefault="00472D5D" w:rsidP="00097418">
            <w:pPr>
              <w:rPr>
                <w:b/>
                <w:lang w:val="en-GB"/>
              </w:rPr>
            </w:pPr>
          </w:p>
        </w:tc>
      </w:tr>
      <w:tr w:rsidR="00472D5D" w14:paraId="10E2C52F" w14:textId="77777777" w:rsidTr="00AA6C81">
        <w:tc>
          <w:tcPr>
            <w:tcW w:w="1142" w:type="pct"/>
          </w:tcPr>
          <w:p w14:paraId="701FE56D" w14:textId="77777777" w:rsidR="00472D5D" w:rsidRDefault="00472D5D" w:rsidP="00097418">
            <w:pPr>
              <w:rPr>
                <w:b/>
                <w:lang w:val="en-GB"/>
              </w:rPr>
            </w:pPr>
            <w:r>
              <w:rPr>
                <w:b/>
                <w:lang w:val="en-GB"/>
              </w:rPr>
              <w:lastRenderedPageBreak/>
              <w:t>Disability</w:t>
            </w:r>
          </w:p>
        </w:tc>
        <w:tc>
          <w:tcPr>
            <w:tcW w:w="3858" w:type="pct"/>
          </w:tcPr>
          <w:p w14:paraId="12B16CA7" w14:textId="77777777" w:rsidR="00AA6C81" w:rsidRDefault="00AA6C81" w:rsidP="00AA6C81">
            <w:pPr>
              <w:jc w:val="both"/>
              <w:rPr>
                <w:rFonts w:ascii="Arial" w:hAnsi="Arial"/>
                <w:sz w:val="22"/>
              </w:rPr>
            </w:pPr>
            <w:r>
              <w:rPr>
                <w:rFonts w:ascii="Arial" w:hAnsi="Arial"/>
                <w:sz w:val="22"/>
              </w:rPr>
              <w:t>From the 2011 census, 21,447 residents (11.5% of the total population) stated they had a long-term health problem or disability that affected their day-to-day life. 2.0% of those aged between 16 and 74 stated that they were permanently sick or disabled (i.e. not able to work).</w:t>
            </w:r>
          </w:p>
          <w:p w14:paraId="3BA2056E" w14:textId="77777777" w:rsidR="00AA6C81" w:rsidRPr="007116DD" w:rsidRDefault="00AA6C81" w:rsidP="00AA6C81">
            <w:pPr>
              <w:jc w:val="both"/>
              <w:rPr>
                <w:rFonts w:ascii="Arial" w:hAnsi="Arial"/>
                <w:sz w:val="20"/>
              </w:rPr>
            </w:pPr>
          </w:p>
          <w:p w14:paraId="51B720BB" w14:textId="77777777" w:rsidR="00AA6C81" w:rsidRDefault="00AA6C81" w:rsidP="00AA6C81">
            <w:pPr>
              <w:jc w:val="both"/>
              <w:rPr>
                <w:rFonts w:ascii="Arial" w:hAnsi="Arial"/>
                <w:sz w:val="22"/>
              </w:rPr>
            </w:pPr>
            <w:r>
              <w:rPr>
                <w:rFonts w:ascii="Arial" w:hAnsi="Arial"/>
                <w:sz w:val="22"/>
              </w:rPr>
              <w:t>The current protection offered to applicants receiving disability benefits would continue which should mitigate the impact of the proposed changes.</w:t>
            </w:r>
          </w:p>
          <w:p w14:paraId="796F829E" w14:textId="77777777" w:rsidR="00AA6C81" w:rsidRDefault="00AA6C81" w:rsidP="00AA6C81">
            <w:pPr>
              <w:jc w:val="both"/>
              <w:rPr>
                <w:rFonts w:ascii="Arial" w:hAnsi="Arial"/>
                <w:sz w:val="22"/>
              </w:rPr>
            </w:pPr>
            <w:r>
              <w:rPr>
                <w:rFonts w:ascii="Arial" w:hAnsi="Arial"/>
                <w:sz w:val="22"/>
              </w:rPr>
              <w:t>Carers would also continue to receive protection.</w:t>
            </w:r>
          </w:p>
          <w:p w14:paraId="45F2DBB0" w14:textId="77777777" w:rsidR="00472D5D" w:rsidRDefault="00472D5D" w:rsidP="00097418">
            <w:pPr>
              <w:rPr>
                <w:b/>
                <w:lang w:val="en-GB"/>
              </w:rPr>
            </w:pPr>
          </w:p>
        </w:tc>
      </w:tr>
      <w:tr w:rsidR="00472D5D" w14:paraId="07BFF1C5" w14:textId="77777777" w:rsidTr="00AA6C81">
        <w:tc>
          <w:tcPr>
            <w:tcW w:w="1142" w:type="pct"/>
          </w:tcPr>
          <w:p w14:paraId="66B3522C" w14:textId="77777777" w:rsidR="00472D5D" w:rsidRDefault="00472D5D" w:rsidP="00097418">
            <w:pPr>
              <w:rPr>
                <w:b/>
                <w:lang w:val="en-GB"/>
              </w:rPr>
            </w:pPr>
            <w:r>
              <w:rPr>
                <w:b/>
                <w:lang w:val="en-GB"/>
              </w:rPr>
              <w:t>Gender (sex)</w:t>
            </w:r>
          </w:p>
        </w:tc>
        <w:tc>
          <w:tcPr>
            <w:tcW w:w="3858" w:type="pct"/>
          </w:tcPr>
          <w:tbl>
            <w:tblPr>
              <w:tblStyle w:val="TableGrid"/>
              <w:tblW w:w="0" w:type="auto"/>
              <w:jc w:val="center"/>
              <w:tblLook w:val="04A0" w:firstRow="1" w:lastRow="0" w:firstColumn="1" w:lastColumn="0" w:noHBand="0" w:noVBand="1"/>
            </w:tblPr>
            <w:tblGrid>
              <w:gridCol w:w="1908"/>
              <w:gridCol w:w="1418"/>
              <w:gridCol w:w="1559"/>
            </w:tblGrid>
            <w:tr w:rsidR="00AA6C81" w14:paraId="75D76DB9" w14:textId="77777777" w:rsidTr="00AA6C81">
              <w:trPr>
                <w:trHeight w:val="361"/>
                <w:jc w:val="center"/>
              </w:trPr>
              <w:tc>
                <w:tcPr>
                  <w:tcW w:w="1908" w:type="dxa"/>
                  <w:shd w:val="clear" w:color="auto" w:fill="BFBFBF" w:themeFill="background1" w:themeFillShade="BF"/>
                  <w:vAlign w:val="center"/>
                </w:tcPr>
                <w:p w14:paraId="0864415F" w14:textId="77777777" w:rsidR="00AA6C81" w:rsidRPr="007116DD" w:rsidRDefault="00AA6C81" w:rsidP="00AA6C81">
                  <w:pPr>
                    <w:jc w:val="center"/>
                    <w:rPr>
                      <w:rFonts w:ascii="Arial" w:hAnsi="Arial"/>
                      <w:b/>
                      <w:color w:val="FFFFFF" w:themeColor="background1"/>
                      <w:sz w:val="20"/>
                    </w:rPr>
                  </w:pPr>
                </w:p>
              </w:tc>
              <w:tc>
                <w:tcPr>
                  <w:tcW w:w="1418" w:type="dxa"/>
                  <w:shd w:val="clear" w:color="auto" w:fill="BFBFBF" w:themeFill="background1" w:themeFillShade="BF"/>
                  <w:vAlign w:val="center"/>
                </w:tcPr>
                <w:p w14:paraId="092C95C2" w14:textId="77777777" w:rsidR="00AA6C81" w:rsidRPr="007116DD" w:rsidRDefault="00AA6C81" w:rsidP="00AA6C81">
                  <w:pPr>
                    <w:jc w:val="center"/>
                    <w:rPr>
                      <w:rFonts w:ascii="Arial" w:hAnsi="Arial"/>
                      <w:b/>
                      <w:sz w:val="20"/>
                    </w:rPr>
                  </w:pPr>
                  <w:r>
                    <w:rPr>
                      <w:rFonts w:ascii="Arial" w:hAnsi="Arial"/>
                      <w:b/>
                      <w:sz w:val="20"/>
                    </w:rPr>
                    <w:t>Male</w:t>
                  </w:r>
                </w:p>
              </w:tc>
              <w:tc>
                <w:tcPr>
                  <w:tcW w:w="1559" w:type="dxa"/>
                  <w:shd w:val="clear" w:color="auto" w:fill="BFBFBF" w:themeFill="background1" w:themeFillShade="BF"/>
                  <w:vAlign w:val="center"/>
                </w:tcPr>
                <w:p w14:paraId="0E79E874" w14:textId="77777777" w:rsidR="00AA6C81" w:rsidRPr="007116DD" w:rsidRDefault="00AA6C81" w:rsidP="00AA6C81">
                  <w:pPr>
                    <w:jc w:val="center"/>
                    <w:rPr>
                      <w:rFonts w:ascii="Arial" w:hAnsi="Arial"/>
                      <w:b/>
                      <w:sz w:val="20"/>
                    </w:rPr>
                  </w:pPr>
                  <w:r>
                    <w:rPr>
                      <w:rFonts w:ascii="Arial" w:hAnsi="Arial"/>
                      <w:b/>
                      <w:sz w:val="20"/>
                    </w:rPr>
                    <w:t>Female</w:t>
                  </w:r>
                </w:p>
              </w:tc>
            </w:tr>
            <w:tr w:rsidR="00AA6C81" w14:paraId="4DED98EA" w14:textId="77777777" w:rsidTr="00AA6C81">
              <w:trPr>
                <w:cantSplit/>
                <w:trHeight w:val="284"/>
                <w:jc w:val="center"/>
              </w:trPr>
              <w:tc>
                <w:tcPr>
                  <w:tcW w:w="1908" w:type="dxa"/>
                  <w:vAlign w:val="center"/>
                </w:tcPr>
                <w:p w14:paraId="64994C43" w14:textId="77777777" w:rsidR="00AA6C81" w:rsidRPr="007116DD" w:rsidRDefault="00AA6C81" w:rsidP="00AA6C81">
                  <w:pPr>
                    <w:jc w:val="center"/>
                    <w:rPr>
                      <w:rFonts w:ascii="Arial" w:hAnsi="Arial"/>
                      <w:sz w:val="20"/>
                    </w:rPr>
                  </w:pPr>
                  <w:r>
                    <w:rPr>
                      <w:rFonts w:ascii="Arial" w:hAnsi="Arial"/>
                      <w:sz w:val="20"/>
                    </w:rPr>
                    <w:t>LBRuT residents</w:t>
                  </w:r>
                </w:p>
              </w:tc>
              <w:tc>
                <w:tcPr>
                  <w:tcW w:w="1418" w:type="dxa"/>
                  <w:vAlign w:val="center"/>
                </w:tcPr>
                <w:p w14:paraId="680FA27E" w14:textId="77777777" w:rsidR="00AA6C81" w:rsidRPr="007116DD" w:rsidRDefault="00AA6C81" w:rsidP="00AA6C81">
                  <w:pPr>
                    <w:jc w:val="center"/>
                    <w:rPr>
                      <w:rFonts w:ascii="Arial" w:hAnsi="Arial"/>
                      <w:sz w:val="20"/>
                    </w:rPr>
                  </w:pPr>
                  <w:r>
                    <w:rPr>
                      <w:rFonts w:ascii="Arial" w:hAnsi="Arial"/>
                      <w:sz w:val="20"/>
                    </w:rPr>
                    <w:t>48.6%</w:t>
                  </w:r>
                </w:p>
              </w:tc>
              <w:tc>
                <w:tcPr>
                  <w:tcW w:w="1559" w:type="dxa"/>
                  <w:vAlign w:val="center"/>
                </w:tcPr>
                <w:p w14:paraId="3AD9BB27" w14:textId="77777777" w:rsidR="00AA6C81" w:rsidRPr="007116DD" w:rsidRDefault="00AA6C81" w:rsidP="00AA6C81">
                  <w:pPr>
                    <w:jc w:val="center"/>
                    <w:rPr>
                      <w:rFonts w:ascii="Arial" w:hAnsi="Arial"/>
                      <w:sz w:val="20"/>
                    </w:rPr>
                  </w:pPr>
                  <w:r>
                    <w:rPr>
                      <w:rFonts w:ascii="Arial" w:hAnsi="Arial"/>
                      <w:sz w:val="20"/>
                    </w:rPr>
                    <w:t>51.4%</w:t>
                  </w:r>
                </w:p>
              </w:tc>
            </w:tr>
            <w:tr w:rsidR="00AA6C81" w14:paraId="6081B37A" w14:textId="77777777" w:rsidTr="00AA6C81">
              <w:trPr>
                <w:trHeight w:val="284"/>
                <w:jc w:val="center"/>
              </w:trPr>
              <w:tc>
                <w:tcPr>
                  <w:tcW w:w="1908" w:type="dxa"/>
                  <w:vAlign w:val="center"/>
                </w:tcPr>
                <w:p w14:paraId="2F10295E" w14:textId="77777777" w:rsidR="00AA6C81" w:rsidRPr="007116DD" w:rsidRDefault="00AA6C81" w:rsidP="00AA6C81">
                  <w:pPr>
                    <w:jc w:val="center"/>
                    <w:rPr>
                      <w:rFonts w:ascii="Arial" w:hAnsi="Arial"/>
                      <w:sz w:val="20"/>
                    </w:rPr>
                  </w:pPr>
                  <w:r>
                    <w:rPr>
                      <w:rFonts w:ascii="Arial" w:hAnsi="Arial"/>
                      <w:sz w:val="20"/>
                    </w:rPr>
                    <w:t>All CTR recipients</w:t>
                  </w:r>
                </w:p>
              </w:tc>
              <w:tc>
                <w:tcPr>
                  <w:tcW w:w="1418" w:type="dxa"/>
                  <w:vAlign w:val="center"/>
                </w:tcPr>
                <w:p w14:paraId="1A0FC541" w14:textId="77777777" w:rsidR="00AA6C81" w:rsidRPr="007116DD" w:rsidRDefault="00AA6C81" w:rsidP="00AA6C81">
                  <w:pPr>
                    <w:jc w:val="center"/>
                    <w:rPr>
                      <w:rFonts w:ascii="Arial" w:hAnsi="Arial"/>
                      <w:sz w:val="20"/>
                    </w:rPr>
                  </w:pPr>
                  <w:r>
                    <w:rPr>
                      <w:rFonts w:ascii="Arial" w:hAnsi="Arial"/>
                      <w:sz w:val="20"/>
                    </w:rPr>
                    <w:t>37.9%</w:t>
                  </w:r>
                </w:p>
              </w:tc>
              <w:tc>
                <w:tcPr>
                  <w:tcW w:w="1559" w:type="dxa"/>
                  <w:vAlign w:val="center"/>
                </w:tcPr>
                <w:p w14:paraId="6A0F1ABD" w14:textId="77777777" w:rsidR="00AA6C81" w:rsidRPr="007116DD" w:rsidRDefault="00AA6C81" w:rsidP="00AA6C81">
                  <w:pPr>
                    <w:jc w:val="center"/>
                    <w:rPr>
                      <w:rFonts w:ascii="Arial" w:hAnsi="Arial"/>
                      <w:sz w:val="20"/>
                    </w:rPr>
                  </w:pPr>
                  <w:r>
                    <w:rPr>
                      <w:rFonts w:ascii="Arial" w:hAnsi="Arial"/>
                      <w:sz w:val="20"/>
                    </w:rPr>
                    <w:t>62.1%</w:t>
                  </w:r>
                </w:p>
              </w:tc>
            </w:tr>
            <w:tr w:rsidR="00AA6C81" w14:paraId="60DAA463" w14:textId="77777777" w:rsidTr="00AA6C81">
              <w:trPr>
                <w:trHeight w:val="284"/>
                <w:jc w:val="center"/>
              </w:trPr>
              <w:tc>
                <w:tcPr>
                  <w:tcW w:w="1908" w:type="dxa"/>
                  <w:vAlign w:val="center"/>
                </w:tcPr>
                <w:p w14:paraId="6ACF41F5" w14:textId="77777777" w:rsidR="00AA6C81" w:rsidRPr="007116DD" w:rsidRDefault="00AA6C81" w:rsidP="00AA6C81">
                  <w:pPr>
                    <w:jc w:val="center"/>
                    <w:rPr>
                      <w:rFonts w:ascii="Arial" w:hAnsi="Arial"/>
                      <w:sz w:val="20"/>
                    </w:rPr>
                  </w:pPr>
                  <w:r>
                    <w:rPr>
                      <w:rFonts w:ascii="Arial" w:hAnsi="Arial"/>
                      <w:sz w:val="20"/>
                    </w:rPr>
                    <w:t>Working-age CTR recipients</w:t>
                  </w:r>
                </w:p>
              </w:tc>
              <w:tc>
                <w:tcPr>
                  <w:tcW w:w="1418" w:type="dxa"/>
                  <w:vAlign w:val="center"/>
                </w:tcPr>
                <w:p w14:paraId="2C2250C3" w14:textId="77777777" w:rsidR="00AA6C81" w:rsidRPr="007116DD" w:rsidRDefault="00AA6C81" w:rsidP="00AA6C81">
                  <w:pPr>
                    <w:jc w:val="center"/>
                    <w:rPr>
                      <w:rFonts w:ascii="Arial" w:hAnsi="Arial"/>
                      <w:sz w:val="20"/>
                    </w:rPr>
                  </w:pPr>
                  <w:r>
                    <w:rPr>
                      <w:rFonts w:ascii="Arial" w:hAnsi="Arial"/>
                      <w:sz w:val="20"/>
                    </w:rPr>
                    <w:t>32.7%</w:t>
                  </w:r>
                </w:p>
              </w:tc>
              <w:tc>
                <w:tcPr>
                  <w:tcW w:w="1559" w:type="dxa"/>
                  <w:vAlign w:val="center"/>
                </w:tcPr>
                <w:p w14:paraId="3B810CF3" w14:textId="77777777" w:rsidR="00AA6C81" w:rsidRPr="007116DD" w:rsidRDefault="00AA6C81" w:rsidP="00AA6C81">
                  <w:pPr>
                    <w:jc w:val="center"/>
                    <w:rPr>
                      <w:rFonts w:ascii="Arial" w:hAnsi="Arial"/>
                      <w:sz w:val="20"/>
                    </w:rPr>
                  </w:pPr>
                  <w:r>
                    <w:rPr>
                      <w:rFonts w:ascii="Arial" w:hAnsi="Arial"/>
                      <w:sz w:val="20"/>
                    </w:rPr>
                    <w:t>67.3%</w:t>
                  </w:r>
                </w:p>
              </w:tc>
            </w:tr>
          </w:tbl>
          <w:p w14:paraId="3EE14933" w14:textId="77777777" w:rsidR="00AA6C81" w:rsidRDefault="00AA6C81" w:rsidP="00AA6C81">
            <w:pPr>
              <w:jc w:val="both"/>
              <w:rPr>
                <w:rFonts w:ascii="Arial" w:hAnsi="Arial"/>
                <w:sz w:val="22"/>
              </w:rPr>
            </w:pPr>
          </w:p>
          <w:p w14:paraId="63C1FE32" w14:textId="77777777" w:rsidR="00AA6C81" w:rsidRDefault="00AA6C81" w:rsidP="00AA6C81">
            <w:pPr>
              <w:jc w:val="both"/>
              <w:rPr>
                <w:rFonts w:ascii="Arial" w:hAnsi="Arial"/>
                <w:sz w:val="22"/>
              </w:rPr>
            </w:pPr>
            <w:r>
              <w:rPr>
                <w:rFonts w:ascii="Arial" w:hAnsi="Arial"/>
                <w:sz w:val="22"/>
              </w:rPr>
              <w:t>Women are disproportionately represented amongst the current caseload making up 67.3% of Working Age recipients as opposed to 51.4% of the overall population.</w:t>
            </w:r>
          </w:p>
          <w:p w14:paraId="2441A7BF" w14:textId="77777777" w:rsidR="00AA6C81" w:rsidRDefault="00AA6C81" w:rsidP="00AA6C81">
            <w:pPr>
              <w:jc w:val="both"/>
              <w:rPr>
                <w:rFonts w:ascii="Arial" w:hAnsi="Arial"/>
                <w:sz w:val="22"/>
              </w:rPr>
            </w:pPr>
          </w:p>
          <w:p w14:paraId="05CD0D3A" w14:textId="77777777" w:rsidR="00AA6C81" w:rsidRPr="007F67F0" w:rsidRDefault="00AA6C81" w:rsidP="00AA6C81">
            <w:pPr>
              <w:jc w:val="both"/>
              <w:rPr>
                <w:rFonts w:ascii="Arial" w:hAnsi="Arial"/>
                <w:sz w:val="22"/>
                <w:szCs w:val="22"/>
              </w:rPr>
            </w:pPr>
            <w:r w:rsidRPr="00CE19D6">
              <w:rPr>
                <w:rFonts w:ascii="Arial" w:hAnsi="Arial"/>
                <w:sz w:val="22"/>
                <w:szCs w:val="22"/>
              </w:rPr>
              <w:t>Of those recipients likely to be affected by the proposals (</w:t>
            </w:r>
            <w:r>
              <w:rPr>
                <w:rFonts w:ascii="Arial" w:hAnsi="Arial"/>
                <w:sz w:val="22"/>
                <w:szCs w:val="22"/>
              </w:rPr>
              <w:t>2,596</w:t>
            </w:r>
            <w:r w:rsidRPr="00CE19D6">
              <w:rPr>
                <w:rFonts w:ascii="Arial" w:hAnsi="Arial"/>
                <w:sz w:val="22"/>
                <w:szCs w:val="22"/>
              </w:rPr>
              <w:t>), 1,</w:t>
            </w:r>
            <w:r>
              <w:rPr>
                <w:rFonts w:ascii="Arial" w:hAnsi="Arial"/>
                <w:sz w:val="22"/>
                <w:szCs w:val="22"/>
              </w:rPr>
              <w:t>748</w:t>
            </w:r>
            <w:r w:rsidRPr="00CE19D6">
              <w:rPr>
                <w:rFonts w:ascii="Arial" w:hAnsi="Arial"/>
                <w:sz w:val="22"/>
                <w:szCs w:val="22"/>
              </w:rPr>
              <w:t xml:space="preserve"> (6</w:t>
            </w:r>
            <w:r>
              <w:rPr>
                <w:rFonts w:ascii="Arial" w:hAnsi="Arial"/>
                <w:sz w:val="22"/>
                <w:szCs w:val="22"/>
              </w:rPr>
              <w:t>7</w:t>
            </w:r>
            <w:r w:rsidRPr="00CE19D6">
              <w:rPr>
                <w:rFonts w:ascii="Arial" w:hAnsi="Arial"/>
                <w:sz w:val="22"/>
                <w:szCs w:val="22"/>
              </w:rPr>
              <w:t>%) are women.</w:t>
            </w:r>
          </w:p>
          <w:p w14:paraId="26811E72" w14:textId="77777777" w:rsidR="00AA6C81" w:rsidRPr="007F67F0" w:rsidRDefault="00AA6C81" w:rsidP="00AA6C81">
            <w:pPr>
              <w:jc w:val="both"/>
              <w:rPr>
                <w:rFonts w:ascii="Arial" w:hAnsi="Arial"/>
                <w:sz w:val="22"/>
                <w:szCs w:val="22"/>
              </w:rPr>
            </w:pPr>
          </w:p>
          <w:p w14:paraId="4279D3FB" w14:textId="77777777" w:rsidR="00AA6C81" w:rsidRDefault="00AA6C81" w:rsidP="00AA6C81">
            <w:pPr>
              <w:jc w:val="both"/>
              <w:rPr>
                <w:rFonts w:ascii="Arial" w:hAnsi="Arial"/>
                <w:sz w:val="22"/>
              </w:rPr>
            </w:pPr>
            <w:r>
              <w:rPr>
                <w:rFonts w:ascii="Arial" w:hAnsi="Arial"/>
                <w:sz w:val="22"/>
              </w:rPr>
              <w:t>Although the policy change is applied universally, women would benefit from this policy change in greater numbers.</w:t>
            </w:r>
          </w:p>
          <w:p w14:paraId="56C6127C" w14:textId="77777777" w:rsidR="00472D5D" w:rsidRDefault="00472D5D" w:rsidP="00097418">
            <w:pPr>
              <w:rPr>
                <w:b/>
                <w:lang w:val="en-GB"/>
              </w:rPr>
            </w:pPr>
          </w:p>
        </w:tc>
      </w:tr>
      <w:tr w:rsidR="00AA6C81" w14:paraId="74333F0B" w14:textId="77777777" w:rsidTr="00AA6C81">
        <w:tc>
          <w:tcPr>
            <w:tcW w:w="1142" w:type="pct"/>
          </w:tcPr>
          <w:p w14:paraId="69AADA6C" w14:textId="77777777" w:rsidR="00AA6C81" w:rsidRDefault="00AA6C81" w:rsidP="00AA6C81">
            <w:pPr>
              <w:rPr>
                <w:b/>
                <w:lang w:val="en-GB"/>
              </w:rPr>
            </w:pPr>
            <w:r>
              <w:rPr>
                <w:b/>
                <w:lang w:val="en-GB"/>
              </w:rPr>
              <w:t>Gender reassignment</w:t>
            </w:r>
          </w:p>
        </w:tc>
        <w:tc>
          <w:tcPr>
            <w:tcW w:w="3858" w:type="pct"/>
            <w:vAlign w:val="center"/>
          </w:tcPr>
          <w:p w14:paraId="5A8A427D" w14:textId="77777777" w:rsidR="00AA6C81" w:rsidRPr="00325BA6" w:rsidRDefault="00AA6C81" w:rsidP="00AA6C81">
            <w:pPr>
              <w:rPr>
                <w:rFonts w:ascii="Arial" w:hAnsi="Arial"/>
                <w:sz w:val="8"/>
              </w:rPr>
            </w:pPr>
          </w:p>
          <w:p w14:paraId="0525ACC6" w14:textId="77777777" w:rsidR="00AA6C81" w:rsidRPr="00325BA6" w:rsidRDefault="00AA6C81" w:rsidP="00AA6C81">
            <w:pPr>
              <w:jc w:val="both"/>
              <w:rPr>
                <w:rFonts w:ascii="Arial" w:hAnsi="Arial"/>
                <w:sz w:val="22"/>
              </w:rPr>
            </w:pPr>
            <w:r w:rsidRPr="00325BA6">
              <w:rPr>
                <w:rFonts w:ascii="Arial" w:hAnsi="Arial"/>
                <w:sz w:val="22"/>
              </w:rPr>
              <w:t>No impact is envisaged for this protected characteristic as the gender of the applicant is not required as part of the assessment process for CTR.</w:t>
            </w:r>
          </w:p>
          <w:p w14:paraId="1161E8F8" w14:textId="77777777" w:rsidR="00AA6C81" w:rsidRDefault="00AA6C81" w:rsidP="00AA6C81">
            <w:pPr>
              <w:rPr>
                <w:b/>
                <w:lang w:val="en-GB"/>
              </w:rPr>
            </w:pPr>
          </w:p>
        </w:tc>
      </w:tr>
      <w:tr w:rsidR="00AA6C81" w14:paraId="3838DBA8" w14:textId="77777777" w:rsidTr="00AA6C81">
        <w:tc>
          <w:tcPr>
            <w:tcW w:w="1142" w:type="pct"/>
          </w:tcPr>
          <w:p w14:paraId="6D0677BD" w14:textId="77777777" w:rsidR="00AA6C81" w:rsidRDefault="00AA6C81" w:rsidP="00AA6C81">
            <w:pPr>
              <w:rPr>
                <w:b/>
                <w:lang w:val="en-GB"/>
              </w:rPr>
            </w:pPr>
            <w:r>
              <w:rPr>
                <w:b/>
                <w:lang w:val="en-GB"/>
              </w:rPr>
              <w:t>Marriage and civil partnership</w:t>
            </w:r>
          </w:p>
        </w:tc>
        <w:tc>
          <w:tcPr>
            <w:tcW w:w="3858" w:type="pct"/>
            <w:vAlign w:val="center"/>
          </w:tcPr>
          <w:p w14:paraId="2C2C797C" w14:textId="77777777" w:rsidR="00AA6C81" w:rsidRPr="00325BA6" w:rsidRDefault="00AA6C81" w:rsidP="00AA6C81">
            <w:pPr>
              <w:rPr>
                <w:rFonts w:ascii="Arial" w:hAnsi="Arial"/>
                <w:sz w:val="8"/>
              </w:rPr>
            </w:pPr>
          </w:p>
          <w:p w14:paraId="413D4C35" w14:textId="77777777" w:rsidR="00AA6C81" w:rsidRPr="00325BA6" w:rsidRDefault="00AA6C81" w:rsidP="00AA6C81">
            <w:pPr>
              <w:jc w:val="both"/>
              <w:rPr>
                <w:rFonts w:ascii="Arial" w:hAnsi="Arial"/>
                <w:sz w:val="22"/>
              </w:rPr>
            </w:pPr>
            <w:r w:rsidRPr="00325BA6">
              <w:rPr>
                <w:rFonts w:ascii="Arial" w:hAnsi="Arial"/>
                <w:sz w:val="22"/>
              </w:rPr>
              <w:t>No impact is envisaged for this protected characteristic as this information is not required as part of the assessment process for CTR.</w:t>
            </w:r>
          </w:p>
          <w:p w14:paraId="67A17600" w14:textId="77777777" w:rsidR="00AA6C81" w:rsidRDefault="00AA6C81" w:rsidP="00AA6C81">
            <w:pPr>
              <w:rPr>
                <w:b/>
                <w:lang w:val="en-GB"/>
              </w:rPr>
            </w:pPr>
          </w:p>
        </w:tc>
      </w:tr>
      <w:tr w:rsidR="00472D5D" w14:paraId="39396238" w14:textId="77777777" w:rsidTr="00AA6C81">
        <w:tc>
          <w:tcPr>
            <w:tcW w:w="1142" w:type="pct"/>
          </w:tcPr>
          <w:p w14:paraId="784F86F5" w14:textId="77777777" w:rsidR="00472D5D" w:rsidRDefault="00472D5D" w:rsidP="00097418">
            <w:pPr>
              <w:rPr>
                <w:b/>
                <w:lang w:val="en-GB"/>
              </w:rPr>
            </w:pPr>
            <w:r>
              <w:rPr>
                <w:b/>
                <w:lang w:val="en-GB"/>
              </w:rPr>
              <w:t>Pregnancy and maternity</w:t>
            </w:r>
          </w:p>
        </w:tc>
        <w:tc>
          <w:tcPr>
            <w:tcW w:w="3858" w:type="pct"/>
          </w:tcPr>
          <w:p w14:paraId="1DF9576C" w14:textId="77777777" w:rsidR="00AA6C81" w:rsidRPr="00325BA6" w:rsidRDefault="00AA6C81" w:rsidP="00AA6C81">
            <w:pPr>
              <w:jc w:val="both"/>
              <w:rPr>
                <w:rFonts w:ascii="Arial" w:hAnsi="Arial"/>
                <w:sz w:val="22"/>
              </w:rPr>
            </w:pPr>
            <w:r w:rsidRPr="00325BA6">
              <w:rPr>
                <w:rFonts w:ascii="Arial" w:hAnsi="Arial"/>
                <w:sz w:val="22"/>
              </w:rPr>
              <w:t>Data regarding pregnancy and maternity status is not required, except when a relevant state benefit or maternity is being received. This means we cannot accurately assess the number of households within this category.</w:t>
            </w:r>
          </w:p>
          <w:p w14:paraId="019B8BCD" w14:textId="77777777" w:rsidR="00AA6C81" w:rsidRPr="00325BA6" w:rsidRDefault="00AA6C81" w:rsidP="00AA6C81">
            <w:pPr>
              <w:jc w:val="both"/>
              <w:rPr>
                <w:rFonts w:ascii="Arial" w:hAnsi="Arial"/>
                <w:sz w:val="22"/>
              </w:rPr>
            </w:pPr>
            <w:r w:rsidRPr="00325BA6">
              <w:rPr>
                <w:rFonts w:ascii="Arial" w:hAnsi="Arial"/>
                <w:sz w:val="22"/>
              </w:rPr>
              <w:t>Applicants leaving or reducing work as a result of pregnancy or maternity will see a greater increase in CTR as a result of their reduced earnings than previously</w:t>
            </w:r>
          </w:p>
          <w:p w14:paraId="474EE87A" w14:textId="77777777" w:rsidR="00472D5D" w:rsidRDefault="00472D5D" w:rsidP="00097418">
            <w:pPr>
              <w:rPr>
                <w:b/>
                <w:lang w:val="en-GB"/>
              </w:rPr>
            </w:pPr>
          </w:p>
        </w:tc>
      </w:tr>
      <w:tr w:rsidR="00472D5D" w14:paraId="0E2067CD" w14:textId="77777777" w:rsidTr="00AA6C81">
        <w:tc>
          <w:tcPr>
            <w:tcW w:w="1142" w:type="pct"/>
          </w:tcPr>
          <w:p w14:paraId="6979D1BD" w14:textId="77777777" w:rsidR="00472D5D" w:rsidRDefault="00472D5D" w:rsidP="00097418">
            <w:pPr>
              <w:rPr>
                <w:b/>
                <w:lang w:val="en-GB"/>
              </w:rPr>
            </w:pPr>
            <w:r>
              <w:rPr>
                <w:b/>
                <w:lang w:val="en-GB"/>
              </w:rPr>
              <w:lastRenderedPageBreak/>
              <w:t>Race/ethnicity</w:t>
            </w:r>
          </w:p>
        </w:tc>
        <w:tc>
          <w:tcPr>
            <w:tcW w:w="3858" w:type="pct"/>
          </w:tcPr>
          <w:p w14:paraId="01701FDF" w14:textId="77777777" w:rsidR="00AA6C81" w:rsidRPr="00325BA6" w:rsidRDefault="00AA6C81" w:rsidP="00AA6C81">
            <w:pPr>
              <w:jc w:val="both"/>
              <w:rPr>
                <w:rFonts w:ascii="Arial" w:hAnsi="Arial"/>
                <w:sz w:val="22"/>
              </w:rPr>
            </w:pPr>
            <w:r w:rsidRPr="00325BA6">
              <w:rPr>
                <w:rFonts w:ascii="Arial" w:hAnsi="Arial"/>
                <w:sz w:val="22"/>
              </w:rPr>
              <w:t xml:space="preserve">Very limited information is held on the ethnic breakdown of current applicants as this information is not required as part of the assessment process for CTR. </w:t>
            </w:r>
          </w:p>
          <w:p w14:paraId="45836A2E" w14:textId="77777777" w:rsidR="00AA6C81" w:rsidRPr="00325BA6" w:rsidRDefault="00AA6C81" w:rsidP="00AA6C81">
            <w:pPr>
              <w:jc w:val="both"/>
              <w:rPr>
                <w:rFonts w:ascii="Arial" w:hAnsi="Arial"/>
                <w:sz w:val="22"/>
              </w:rPr>
            </w:pPr>
            <w:r w:rsidRPr="00325BA6">
              <w:rPr>
                <w:rFonts w:ascii="Arial" w:hAnsi="Arial"/>
                <w:sz w:val="22"/>
              </w:rPr>
              <w:t>It is therefore difficult to estimate the impact on this group – however, the proposed policy change would have a positive impact on current and future CTR applicants, regardless of ethnicity, as they would receive more CTR than previously</w:t>
            </w:r>
          </w:p>
          <w:p w14:paraId="5D8D3B14" w14:textId="77777777" w:rsidR="00472D5D" w:rsidRDefault="00472D5D" w:rsidP="00097418">
            <w:pPr>
              <w:rPr>
                <w:b/>
                <w:lang w:val="en-GB"/>
              </w:rPr>
            </w:pPr>
          </w:p>
        </w:tc>
      </w:tr>
      <w:tr w:rsidR="00AA6C81" w14:paraId="4FD6A7D4" w14:textId="77777777" w:rsidTr="00AA6C81">
        <w:tc>
          <w:tcPr>
            <w:tcW w:w="1142" w:type="pct"/>
          </w:tcPr>
          <w:p w14:paraId="0C3AEEC7" w14:textId="77777777" w:rsidR="00AA6C81" w:rsidRDefault="00AA6C81" w:rsidP="00AA6C81">
            <w:pPr>
              <w:rPr>
                <w:b/>
                <w:lang w:val="en-GB"/>
              </w:rPr>
            </w:pPr>
            <w:r>
              <w:rPr>
                <w:b/>
                <w:lang w:val="en-GB"/>
              </w:rPr>
              <w:t>Religion and belief, including non belief</w:t>
            </w:r>
          </w:p>
        </w:tc>
        <w:tc>
          <w:tcPr>
            <w:tcW w:w="3858" w:type="pct"/>
            <w:vAlign w:val="center"/>
          </w:tcPr>
          <w:p w14:paraId="4BE710D3" w14:textId="77777777" w:rsidR="00AA6C81" w:rsidRPr="00325BA6" w:rsidRDefault="00AA6C81" w:rsidP="00AA6C81">
            <w:pPr>
              <w:rPr>
                <w:rFonts w:ascii="Arial" w:hAnsi="Arial"/>
                <w:sz w:val="8"/>
              </w:rPr>
            </w:pPr>
          </w:p>
          <w:p w14:paraId="7A7D41E5" w14:textId="77777777" w:rsidR="000020AA" w:rsidRPr="00670552" w:rsidRDefault="000020AA" w:rsidP="000020AA">
            <w:pPr>
              <w:pStyle w:val="NormalWeb"/>
              <w:shd w:val="clear" w:color="auto" w:fill="FFFFFF"/>
              <w:rPr>
                <w:rFonts w:ascii="Arial" w:hAnsi="Arial" w:cs="Arial"/>
                <w:sz w:val="22"/>
                <w:szCs w:val="22"/>
              </w:rPr>
            </w:pPr>
            <w:r w:rsidRPr="00670552">
              <w:rPr>
                <w:rFonts w:ascii="Arial" w:hAnsi="Arial" w:cs="Arial"/>
                <w:sz w:val="22"/>
                <w:szCs w:val="22"/>
              </w:rPr>
              <w:t>According to the 2011 Census the following proportions of the population consider themselves to be of the following religions or beliefs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0"/>
              <w:gridCol w:w="2700"/>
            </w:tblGrid>
            <w:tr w:rsidR="000020AA" w:rsidRPr="000020AA" w14:paraId="20E643F6" w14:textId="77777777" w:rsidTr="000020AA">
              <w:trPr>
                <w:tblCellSpacing w:w="15" w:type="dxa"/>
              </w:trPr>
              <w:tc>
                <w:tcPr>
                  <w:tcW w:w="2655" w:type="dxa"/>
                  <w:vAlign w:val="center"/>
                  <w:hideMark/>
                </w:tcPr>
                <w:p w14:paraId="3255E6D4" w14:textId="77777777" w:rsidR="000020AA" w:rsidRPr="00670552" w:rsidRDefault="000020AA" w:rsidP="00670552">
                  <w:pPr>
                    <w:pStyle w:val="NormalWeb"/>
                    <w:spacing w:after="0"/>
                    <w:jc w:val="center"/>
                    <w:rPr>
                      <w:rFonts w:ascii="Arial" w:hAnsi="Arial" w:cs="Arial"/>
                      <w:b/>
                      <w:bCs/>
                      <w:sz w:val="22"/>
                      <w:szCs w:val="22"/>
                    </w:rPr>
                  </w:pPr>
                  <w:r w:rsidRPr="00670552">
                    <w:rPr>
                      <w:rStyle w:val="Strong"/>
                      <w:rFonts w:ascii="Arial" w:hAnsi="Arial" w:cs="Arial"/>
                      <w:sz w:val="22"/>
                      <w:szCs w:val="22"/>
                    </w:rPr>
                    <w:t>Religion/belief</w:t>
                  </w:r>
                </w:p>
              </w:tc>
              <w:tc>
                <w:tcPr>
                  <w:tcW w:w="2655" w:type="dxa"/>
                  <w:vAlign w:val="center"/>
                  <w:hideMark/>
                </w:tcPr>
                <w:p w14:paraId="24851794" w14:textId="77777777" w:rsidR="000020AA" w:rsidRPr="00670552" w:rsidRDefault="000020AA" w:rsidP="00670552">
                  <w:pPr>
                    <w:pStyle w:val="NormalWeb"/>
                    <w:spacing w:after="0"/>
                    <w:jc w:val="center"/>
                    <w:rPr>
                      <w:rFonts w:ascii="Arial" w:hAnsi="Arial" w:cs="Arial"/>
                      <w:b/>
                      <w:bCs/>
                      <w:sz w:val="22"/>
                      <w:szCs w:val="22"/>
                    </w:rPr>
                  </w:pPr>
                  <w:r w:rsidRPr="00670552">
                    <w:rPr>
                      <w:rStyle w:val="Strong"/>
                      <w:rFonts w:ascii="Arial" w:hAnsi="Arial" w:cs="Arial"/>
                      <w:sz w:val="22"/>
                      <w:szCs w:val="22"/>
                    </w:rPr>
                    <w:t>%</w:t>
                  </w:r>
                </w:p>
              </w:tc>
            </w:tr>
            <w:tr w:rsidR="000020AA" w:rsidRPr="000020AA" w14:paraId="3C8B1DB2" w14:textId="77777777" w:rsidTr="000020AA">
              <w:trPr>
                <w:tblCellSpacing w:w="15" w:type="dxa"/>
              </w:trPr>
              <w:tc>
                <w:tcPr>
                  <w:tcW w:w="2655" w:type="dxa"/>
                  <w:vAlign w:val="center"/>
                  <w:hideMark/>
                </w:tcPr>
                <w:p w14:paraId="3CC9FAE0" w14:textId="77777777" w:rsidR="000020AA" w:rsidRPr="00670552" w:rsidRDefault="000020AA" w:rsidP="00670552">
                  <w:pPr>
                    <w:pStyle w:val="NormalWeb"/>
                    <w:spacing w:after="0"/>
                    <w:rPr>
                      <w:rFonts w:ascii="Arial" w:hAnsi="Arial" w:cs="Arial"/>
                      <w:sz w:val="22"/>
                      <w:szCs w:val="22"/>
                    </w:rPr>
                  </w:pPr>
                  <w:r w:rsidRPr="00670552">
                    <w:rPr>
                      <w:rFonts w:ascii="Arial" w:hAnsi="Arial" w:cs="Arial"/>
                      <w:sz w:val="22"/>
                      <w:szCs w:val="22"/>
                    </w:rPr>
                    <w:t>Christian</w:t>
                  </w:r>
                </w:p>
              </w:tc>
              <w:tc>
                <w:tcPr>
                  <w:tcW w:w="2655" w:type="dxa"/>
                  <w:vAlign w:val="center"/>
                  <w:hideMark/>
                </w:tcPr>
                <w:p w14:paraId="2BAA3A4B" w14:textId="77777777" w:rsidR="000020AA" w:rsidRPr="00670552" w:rsidRDefault="000020AA" w:rsidP="00670552">
                  <w:pPr>
                    <w:pStyle w:val="NormalWeb"/>
                    <w:spacing w:after="0"/>
                    <w:jc w:val="center"/>
                    <w:rPr>
                      <w:rFonts w:ascii="Arial" w:hAnsi="Arial" w:cs="Arial"/>
                      <w:sz w:val="22"/>
                      <w:szCs w:val="22"/>
                    </w:rPr>
                  </w:pPr>
                  <w:r w:rsidRPr="00670552">
                    <w:rPr>
                      <w:rFonts w:ascii="Arial" w:hAnsi="Arial" w:cs="Arial"/>
                      <w:sz w:val="22"/>
                      <w:szCs w:val="22"/>
                    </w:rPr>
                    <w:t>55.3</w:t>
                  </w:r>
                </w:p>
              </w:tc>
            </w:tr>
            <w:tr w:rsidR="000020AA" w:rsidRPr="000020AA" w14:paraId="2CD09A36" w14:textId="77777777" w:rsidTr="000020AA">
              <w:trPr>
                <w:tblCellSpacing w:w="15" w:type="dxa"/>
              </w:trPr>
              <w:tc>
                <w:tcPr>
                  <w:tcW w:w="2655" w:type="dxa"/>
                  <w:vAlign w:val="center"/>
                  <w:hideMark/>
                </w:tcPr>
                <w:p w14:paraId="3FFF1652" w14:textId="77777777" w:rsidR="000020AA" w:rsidRPr="00670552" w:rsidRDefault="000020AA" w:rsidP="00670552">
                  <w:pPr>
                    <w:pStyle w:val="NormalWeb"/>
                    <w:spacing w:after="0"/>
                    <w:rPr>
                      <w:rFonts w:ascii="Arial" w:hAnsi="Arial" w:cs="Arial"/>
                      <w:sz w:val="22"/>
                      <w:szCs w:val="22"/>
                    </w:rPr>
                  </w:pPr>
                  <w:r w:rsidRPr="00670552">
                    <w:rPr>
                      <w:rFonts w:ascii="Arial" w:hAnsi="Arial" w:cs="Arial"/>
                      <w:sz w:val="22"/>
                      <w:szCs w:val="22"/>
                    </w:rPr>
                    <w:t>No religion</w:t>
                  </w:r>
                </w:p>
              </w:tc>
              <w:tc>
                <w:tcPr>
                  <w:tcW w:w="2655" w:type="dxa"/>
                  <w:vAlign w:val="center"/>
                  <w:hideMark/>
                </w:tcPr>
                <w:p w14:paraId="38082DC4" w14:textId="77777777" w:rsidR="000020AA" w:rsidRPr="00670552" w:rsidRDefault="000020AA" w:rsidP="00670552">
                  <w:pPr>
                    <w:pStyle w:val="NormalWeb"/>
                    <w:spacing w:after="0"/>
                    <w:jc w:val="center"/>
                    <w:rPr>
                      <w:rFonts w:ascii="Arial" w:hAnsi="Arial" w:cs="Arial"/>
                      <w:sz w:val="22"/>
                      <w:szCs w:val="22"/>
                    </w:rPr>
                  </w:pPr>
                  <w:r w:rsidRPr="00670552">
                    <w:rPr>
                      <w:rFonts w:ascii="Arial" w:hAnsi="Arial" w:cs="Arial"/>
                      <w:sz w:val="22"/>
                      <w:szCs w:val="22"/>
                    </w:rPr>
                    <w:t>28.4</w:t>
                  </w:r>
                </w:p>
              </w:tc>
            </w:tr>
            <w:tr w:rsidR="000020AA" w:rsidRPr="000020AA" w14:paraId="72E7D3EA" w14:textId="77777777" w:rsidTr="000020AA">
              <w:trPr>
                <w:tblCellSpacing w:w="15" w:type="dxa"/>
              </w:trPr>
              <w:tc>
                <w:tcPr>
                  <w:tcW w:w="2655" w:type="dxa"/>
                  <w:vAlign w:val="center"/>
                  <w:hideMark/>
                </w:tcPr>
                <w:p w14:paraId="59B8D392" w14:textId="77777777" w:rsidR="000020AA" w:rsidRPr="00670552" w:rsidRDefault="000020AA" w:rsidP="00670552">
                  <w:pPr>
                    <w:pStyle w:val="NormalWeb"/>
                    <w:spacing w:after="0"/>
                    <w:rPr>
                      <w:rFonts w:ascii="Arial" w:hAnsi="Arial" w:cs="Arial"/>
                      <w:sz w:val="22"/>
                      <w:szCs w:val="22"/>
                    </w:rPr>
                  </w:pPr>
                  <w:r w:rsidRPr="00670552">
                    <w:rPr>
                      <w:rFonts w:ascii="Arial" w:hAnsi="Arial" w:cs="Arial"/>
                      <w:sz w:val="22"/>
                      <w:szCs w:val="22"/>
                    </w:rPr>
                    <w:t>Muslim</w:t>
                  </w:r>
                </w:p>
              </w:tc>
              <w:tc>
                <w:tcPr>
                  <w:tcW w:w="2655" w:type="dxa"/>
                  <w:vAlign w:val="center"/>
                  <w:hideMark/>
                </w:tcPr>
                <w:p w14:paraId="22996C98" w14:textId="77777777" w:rsidR="000020AA" w:rsidRPr="00670552" w:rsidRDefault="000020AA" w:rsidP="00670552">
                  <w:pPr>
                    <w:pStyle w:val="NormalWeb"/>
                    <w:spacing w:after="0"/>
                    <w:jc w:val="center"/>
                    <w:rPr>
                      <w:rFonts w:ascii="Arial" w:hAnsi="Arial" w:cs="Arial"/>
                      <w:sz w:val="22"/>
                      <w:szCs w:val="22"/>
                    </w:rPr>
                  </w:pPr>
                  <w:r w:rsidRPr="00670552">
                    <w:rPr>
                      <w:rFonts w:ascii="Arial" w:hAnsi="Arial" w:cs="Arial"/>
                      <w:sz w:val="22"/>
                      <w:szCs w:val="22"/>
                    </w:rPr>
                    <w:t>3.3</w:t>
                  </w:r>
                </w:p>
              </w:tc>
            </w:tr>
            <w:tr w:rsidR="000020AA" w:rsidRPr="000020AA" w14:paraId="0E670C29" w14:textId="77777777" w:rsidTr="000020AA">
              <w:trPr>
                <w:tblCellSpacing w:w="15" w:type="dxa"/>
              </w:trPr>
              <w:tc>
                <w:tcPr>
                  <w:tcW w:w="2655" w:type="dxa"/>
                  <w:vAlign w:val="center"/>
                  <w:hideMark/>
                </w:tcPr>
                <w:p w14:paraId="42B9A9E6" w14:textId="77777777" w:rsidR="000020AA" w:rsidRPr="00670552" w:rsidRDefault="000020AA" w:rsidP="00670552">
                  <w:pPr>
                    <w:pStyle w:val="NormalWeb"/>
                    <w:spacing w:after="0"/>
                    <w:rPr>
                      <w:rFonts w:ascii="Arial" w:hAnsi="Arial" w:cs="Arial"/>
                      <w:sz w:val="22"/>
                      <w:szCs w:val="22"/>
                    </w:rPr>
                  </w:pPr>
                  <w:r w:rsidRPr="00670552">
                    <w:rPr>
                      <w:rFonts w:ascii="Arial" w:hAnsi="Arial" w:cs="Arial"/>
                      <w:sz w:val="22"/>
                      <w:szCs w:val="22"/>
                    </w:rPr>
                    <w:t>Hindu</w:t>
                  </w:r>
                </w:p>
              </w:tc>
              <w:tc>
                <w:tcPr>
                  <w:tcW w:w="2655" w:type="dxa"/>
                  <w:vAlign w:val="center"/>
                  <w:hideMark/>
                </w:tcPr>
                <w:p w14:paraId="67B7B9FD" w14:textId="77777777" w:rsidR="000020AA" w:rsidRPr="00670552" w:rsidRDefault="000020AA" w:rsidP="00670552">
                  <w:pPr>
                    <w:pStyle w:val="NormalWeb"/>
                    <w:spacing w:after="0"/>
                    <w:jc w:val="center"/>
                    <w:rPr>
                      <w:rFonts w:ascii="Arial" w:hAnsi="Arial" w:cs="Arial"/>
                      <w:sz w:val="22"/>
                      <w:szCs w:val="22"/>
                    </w:rPr>
                  </w:pPr>
                  <w:r w:rsidRPr="00670552">
                    <w:rPr>
                      <w:rFonts w:ascii="Arial" w:hAnsi="Arial" w:cs="Arial"/>
                      <w:sz w:val="22"/>
                      <w:szCs w:val="22"/>
                    </w:rPr>
                    <w:t>1.6</w:t>
                  </w:r>
                </w:p>
              </w:tc>
            </w:tr>
            <w:tr w:rsidR="000020AA" w:rsidRPr="000020AA" w14:paraId="6CFB3BDD" w14:textId="77777777" w:rsidTr="000020AA">
              <w:trPr>
                <w:tblCellSpacing w:w="15" w:type="dxa"/>
              </w:trPr>
              <w:tc>
                <w:tcPr>
                  <w:tcW w:w="2655" w:type="dxa"/>
                  <w:vAlign w:val="center"/>
                  <w:hideMark/>
                </w:tcPr>
                <w:p w14:paraId="224A2DEE" w14:textId="77777777" w:rsidR="000020AA" w:rsidRPr="00670552" w:rsidRDefault="000020AA" w:rsidP="00670552">
                  <w:pPr>
                    <w:pStyle w:val="NormalWeb"/>
                    <w:spacing w:after="0"/>
                    <w:rPr>
                      <w:rFonts w:ascii="Arial" w:hAnsi="Arial" w:cs="Arial"/>
                      <w:sz w:val="22"/>
                      <w:szCs w:val="22"/>
                    </w:rPr>
                  </w:pPr>
                  <w:r w:rsidRPr="00670552">
                    <w:rPr>
                      <w:rFonts w:ascii="Arial" w:hAnsi="Arial" w:cs="Arial"/>
                      <w:sz w:val="22"/>
                      <w:szCs w:val="22"/>
                    </w:rPr>
                    <w:t>Jewish</w:t>
                  </w:r>
                </w:p>
              </w:tc>
              <w:tc>
                <w:tcPr>
                  <w:tcW w:w="2655" w:type="dxa"/>
                  <w:vAlign w:val="center"/>
                  <w:hideMark/>
                </w:tcPr>
                <w:p w14:paraId="12D0BD4F" w14:textId="77777777" w:rsidR="000020AA" w:rsidRPr="00670552" w:rsidRDefault="000020AA" w:rsidP="00670552">
                  <w:pPr>
                    <w:pStyle w:val="NormalWeb"/>
                    <w:spacing w:after="0"/>
                    <w:jc w:val="center"/>
                    <w:rPr>
                      <w:rFonts w:ascii="Arial" w:hAnsi="Arial" w:cs="Arial"/>
                      <w:sz w:val="22"/>
                      <w:szCs w:val="22"/>
                    </w:rPr>
                  </w:pPr>
                  <w:r w:rsidRPr="00670552">
                    <w:rPr>
                      <w:rFonts w:ascii="Arial" w:hAnsi="Arial" w:cs="Arial"/>
                      <w:sz w:val="22"/>
                      <w:szCs w:val="22"/>
                    </w:rPr>
                    <w:t>0.8</w:t>
                  </w:r>
                </w:p>
              </w:tc>
            </w:tr>
            <w:tr w:rsidR="000020AA" w:rsidRPr="000020AA" w14:paraId="7FC17AD0" w14:textId="77777777" w:rsidTr="000020AA">
              <w:trPr>
                <w:tblCellSpacing w:w="15" w:type="dxa"/>
              </w:trPr>
              <w:tc>
                <w:tcPr>
                  <w:tcW w:w="2655" w:type="dxa"/>
                  <w:vAlign w:val="center"/>
                  <w:hideMark/>
                </w:tcPr>
                <w:p w14:paraId="7D348804" w14:textId="77777777" w:rsidR="000020AA" w:rsidRPr="00670552" w:rsidRDefault="000020AA" w:rsidP="00670552">
                  <w:pPr>
                    <w:pStyle w:val="NormalWeb"/>
                    <w:spacing w:after="0"/>
                    <w:rPr>
                      <w:rFonts w:ascii="Arial" w:hAnsi="Arial" w:cs="Arial"/>
                      <w:sz w:val="22"/>
                      <w:szCs w:val="22"/>
                    </w:rPr>
                  </w:pPr>
                  <w:r w:rsidRPr="00670552">
                    <w:rPr>
                      <w:rFonts w:ascii="Arial" w:hAnsi="Arial" w:cs="Arial"/>
                      <w:sz w:val="22"/>
                      <w:szCs w:val="22"/>
                    </w:rPr>
                    <w:t>Sikh</w:t>
                  </w:r>
                </w:p>
              </w:tc>
              <w:tc>
                <w:tcPr>
                  <w:tcW w:w="2655" w:type="dxa"/>
                  <w:vAlign w:val="center"/>
                  <w:hideMark/>
                </w:tcPr>
                <w:p w14:paraId="6352EFAC" w14:textId="77777777" w:rsidR="000020AA" w:rsidRPr="00670552" w:rsidRDefault="000020AA" w:rsidP="00670552">
                  <w:pPr>
                    <w:pStyle w:val="NormalWeb"/>
                    <w:spacing w:after="0"/>
                    <w:jc w:val="center"/>
                    <w:rPr>
                      <w:rFonts w:ascii="Arial" w:hAnsi="Arial" w:cs="Arial"/>
                      <w:sz w:val="22"/>
                      <w:szCs w:val="22"/>
                    </w:rPr>
                  </w:pPr>
                  <w:r w:rsidRPr="00670552">
                    <w:rPr>
                      <w:rFonts w:ascii="Arial" w:hAnsi="Arial" w:cs="Arial"/>
                      <w:sz w:val="22"/>
                      <w:szCs w:val="22"/>
                    </w:rPr>
                    <w:t>0.8</w:t>
                  </w:r>
                </w:p>
              </w:tc>
            </w:tr>
            <w:tr w:rsidR="000020AA" w:rsidRPr="000020AA" w14:paraId="324B683E" w14:textId="77777777" w:rsidTr="000020AA">
              <w:trPr>
                <w:tblCellSpacing w:w="15" w:type="dxa"/>
              </w:trPr>
              <w:tc>
                <w:tcPr>
                  <w:tcW w:w="2655" w:type="dxa"/>
                  <w:vAlign w:val="center"/>
                  <w:hideMark/>
                </w:tcPr>
                <w:p w14:paraId="3C917BE4" w14:textId="77777777" w:rsidR="000020AA" w:rsidRPr="00670552" w:rsidRDefault="000020AA" w:rsidP="00670552">
                  <w:pPr>
                    <w:pStyle w:val="NormalWeb"/>
                    <w:spacing w:after="0"/>
                    <w:rPr>
                      <w:rFonts w:ascii="Arial" w:hAnsi="Arial" w:cs="Arial"/>
                      <w:sz w:val="22"/>
                      <w:szCs w:val="22"/>
                    </w:rPr>
                  </w:pPr>
                  <w:r w:rsidRPr="00670552">
                    <w:rPr>
                      <w:rFonts w:ascii="Arial" w:hAnsi="Arial" w:cs="Arial"/>
                      <w:sz w:val="22"/>
                      <w:szCs w:val="22"/>
                    </w:rPr>
                    <w:t>Other</w:t>
                  </w:r>
                </w:p>
              </w:tc>
              <w:tc>
                <w:tcPr>
                  <w:tcW w:w="2655" w:type="dxa"/>
                  <w:vAlign w:val="center"/>
                  <w:hideMark/>
                </w:tcPr>
                <w:p w14:paraId="344ABD42" w14:textId="77777777" w:rsidR="000020AA" w:rsidRPr="00670552" w:rsidRDefault="000020AA" w:rsidP="00670552">
                  <w:pPr>
                    <w:pStyle w:val="NormalWeb"/>
                    <w:spacing w:after="0"/>
                    <w:jc w:val="center"/>
                    <w:rPr>
                      <w:rFonts w:ascii="Arial" w:hAnsi="Arial" w:cs="Arial"/>
                      <w:sz w:val="22"/>
                      <w:szCs w:val="22"/>
                    </w:rPr>
                  </w:pPr>
                  <w:r w:rsidRPr="00670552">
                    <w:rPr>
                      <w:rFonts w:ascii="Arial" w:hAnsi="Arial" w:cs="Arial"/>
                      <w:sz w:val="22"/>
                      <w:szCs w:val="22"/>
                    </w:rPr>
                    <w:t>0.4</w:t>
                  </w:r>
                </w:p>
              </w:tc>
            </w:tr>
            <w:tr w:rsidR="000020AA" w:rsidRPr="000020AA" w14:paraId="02E6798A" w14:textId="77777777" w:rsidTr="000020AA">
              <w:trPr>
                <w:tblCellSpacing w:w="15" w:type="dxa"/>
              </w:trPr>
              <w:tc>
                <w:tcPr>
                  <w:tcW w:w="2655" w:type="dxa"/>
                  <w:vAlign w:val="center"/>
                  <w:hideMark/>
                </w:tcPr>
                <w:p w14:paraId="11EACF25" w14:textId="77777777" w:rsidR="000020AA" w:rsidRPr="00670552" w:rsidRDefault="000020AA" w:rsidP="00670552">
                  <w:pPr>
                    <w:pStyle w:val="NormalWeb"/>
                    <w:spacing w:after="0"/>
                    <w:rPr>
                      <w:rFonts w:ascii="Arial" w:hAnsi="Arial" w:cs="Arial"/>
                      <w:sz w:val="22"/>
                      <w:szCs w:val="22"/>
                    </w:rPr>
                  </w:pPr>
                  <w:r w:rsidRPr="00670552">
                    <w:rPr>
                      <w:rFonts w:ascii="Arial" w:hAnsi="Arial" w:cs="Arial"/>
                      <w:sz w:val="22"/>
                      <w:szCs w:val="22"/>
                    </w:rPr>
                    <w:t>None stated</w:t>
                  </w:r>
                </w:p>
              </w:tc>
              <w:tc>
                <w:tcPr>
                  <w:tcW w:w="2655" w:type="dxa"/>
                  <w:vAlign w:val="center"/>
                  <w:hideMark/>
                </w:tcPr>
                <w:p w14:paraId="78196FE4" w14:textId="77777777" w:rsidR="000020AA" w:rsidRPr="00670552" w:rsidRDefault="000020AA" w:rsidP="00670552">
                  <w:pPr>
                    <w:pStyle w:val="NormalWeb"/>
                    <w:spacing w:after="0"/>
                    <w:jc w:val="center"/>
                    <w:rPr>
                      <w:rFonts w:ascii="Arial" w:hAnsi="Arial" w:cs="Arial"/>
                      <w:sz w:val="22"/>
                      <w:szCs w:val="22"/>
                    </w:rPr>
                  </w:pPr>
                  <w:r w:rsidRPr="00670552">
                    <w:rPr>
                      <w:rFonts w:ascii="Arial" w:hAnsi="Arial" w:cs="Arial"/>
                      <w:sz w:val="22"/>
                      <w:szCs w:val="22"/>
                    </w:rPr>
                    <w:t>8.2</w:t>
                  </w:r>
                </w:p>
              </w:tc>
            </w:tr>
          </w:tbl>
          <w:p w14:paraId="5ED15269" w14:textId="77777777" w:rsidR="000020AA" w:rsidRPr="000020AA" w:rsidRDefault="000020AA" w:rsidP="00AA6C81">
            <w:pPr>
              <w:rPr>
                <w:rFonts w:ascii="Arial" w:hAnsi="Arial"/>
                <w:sz w:val="22"/>
                <w:szCs w:val="22"/>
              </w:rPr>
            </w:pPr>
            <w:r w:rsidRPr="000020AA" w:rsidDel="000020AA">
              <w:rPr>
                <w:rFonts w:ascii="Arial" w:hAnsi="Arial"/>
                <w:sz w:val="22"/>
                <w:szCs w:val="22"/>
              </w:rPr>
              <w:t xml:space="preserve"> </w:t>
            </w:r>
          </w:p>
          <w:p w14:paraId="1F537797" w14:textId="77777777" w:rsidR="000020AA" w:rsidRPr="000020AA" w:rsidRDefault="000020AA" w:rsidP="00AA6C81">
            <w:pPr>
              <w:rPr>
                <w:rFonts w:ascii="Arial" w:hAnsi="Arial"/>
                <w:sz w:val="22"/>
                <w:szCs w:val="22"/>
              </w:rPr>
            </w:pPr>
            <w:r w:rsidRPr="000020AA">
              <w:rPr>
                <w:rFonts w:ascii="Arial" w:hAnsi="Arial"/>
                <w:sz w:val="22"/>
                <w:szCs w:val="22"/>
              </w:rPr>
              <w:t>No specific data is collected on this characteristic as part of the assessment process for CTR.</w:t>
            </w:r>
          </w:p>
          <w:p w14:paraId="3942B997" w14:textId="77777777" w:rsidR="00AA6C81" w:rsidRDefault="00AA6C81" w:rsidP="00AA6C81">
            <w:pPr>
              <w:rPr>
                <w:b/>
                <w:lang w:val="en-GB"/>
              </w:rPr>
            </w:pPr>
          </w:p>
        </w:tc>
      </w:tr>
      <w:tr w:rsidR="00AA6C81" w14:paraId="61F43CE4" w14:textId="77777777" w:rsidTr="00AA6C81">
        <w:tc>
          <w:tcPr>
            <w:tcW w:w="1142" w:type="pct"/>
          </w:tcPr>
          <w:p w14:paraId="78F13EE9" w14:textId="77777777" w:rsidR="00AA6C81" w:rsidRDefault="00AA6C81" w:rsidP="00AA6C81">
            <w:pPr>
              <w:rPr>
                <w:b/>
                <w:lang w:val="en-GB"/>
              </w:rPr>
            </w:pPr>
            <w:r>
              <w:rPr>
                <w:b/>
                <w:lang w:val="en-GB"/>
              </w:rPr>
              <w:t>Sexual orientation</w:t>
            </w:r>
          </w:p>
        </w:tc>
        <w:tc>
          <w:tcPr>
            <w:tcW w:w="3858" w:type="pct"/>
            <w:vAlign w:val="center"/>
          </w:tcPr>
          <w:p w14:paraId="5A077B1C" w14:textId="77777777" w:rsidR="00AA6C81" w:rsidRPr="00325BA6" w:rsidRDefault="00AA6C81" w:rsidP="00AA6C81">
            <w:pPr>
              <w:rPr>
                <w:rFonts w:ascii="Arial" w:hAnsi="Arial"/>
                <w:sz w:val="8"/>
              </w:rPr>
            </w:pPr>
          </w:p>
          <w:p w14:paraId="6C0AD4C9" w14:textId="77777777" w:rsidR="000020AA" w:rsidRPr="00670552" w:rsidRDefault="000020AA" w:rsidP="000020AA">
            <w:pPr>
              <w:pStyle w:val="NormalWeb"/>
              <w:shd w:val="clear" w:color="auto" w:fill="FFFFFF"/>
              <w:rPr>
                <w:rFonts w:ascii="Arial" w:hAnsi="Arial" w:cs="Arial"/>
                <w:sz w:val="22"/>
                <w:szCs w:val="22"/>
              </w:rPr>
            </w:pPr>
            <w:r w:rsidRPr="00670552">
              <w:rPr>
                <w:rFonts w:ascii="Arial" w:hAnsi="Arial" w:cs="Arial"/>
                <w:sz w:val="22"/>
                <w:szCs w:val="22"/>
              </w:rPr>
              <w:t>The 2011 census did not have a specific question regarding sexual orientation, but found that 665 people (0.35% of the Borough population) reported being in a same sex Civil Partnership.</w:t>
            </w:r>
          </w:p>
          <w:p w14:paraId="76920745" w14:textId="77777777" w:rsidR="000020AA" w:rsidRPr="00670552" w:rsidRDefault="000020AA" w:rsidP="000020AA">
            <w:pPr>
              <w:pStyle w:val="NormalWeb"/>
              <w:shd w:val="clear" w:color="auto" w:fill="FFFFFF"/>
              <w:rPr>
                <w:rFonts w:ascii="Arial" w:hAnsi="Arial" w:cs="Arial"/>
                <w:sz w:val="22"/>
                <w:szCs w:val="22"/>
              </w:rPr>
            </w:pPr>
            <w:r w:rsidRPr="00670552">
              <w:rPr>
                <w:rFonts w:ascii="Arial" w:hAnsi="Arial" w:cs="Arial"/>
                <w:sz w:val="22"/>
                <w:szCs w:val="22"/>
              </w:rPr>
              <w:t>Beyond Richmond, surveys found that 1.5% of the national population and 2.5% in London consider themselves LGB</w:t>
            </w:r>
            <w:bookmarkStart w:id="1" w:name="_ednref3"/>
            <w:r w:rsidRPr="00670552">
              <w:rPr>
                <w:rFonts w:ascii="Arial" w:hAnsi="Arial" w:cs="Arial"/>
                <w:sz w:val="22"/>
                <w:szCs w:val="22"/>
              </w:rPr>
              <w:fldChar w:fldCharType="begin"/>
            </w:r>
            <w:r w:rsidRPr="00670552">
              <w:rPr>
                <w:rFonts w:ascii="Arial" w:hAnsi="Arial" w:cs="Arial"/>
                <w:sz w:val="22"/>
                <w:szCs w:val="22"/>
              </w:rPr>
              <w:instrText xml:space="preserve"> HYPERLINK "https://www.datarich.info/groups-and-communities/sexual-orientation/" \l "_edn3" </w:instrText>
            </w:r>
            <w:r w:rsidRPr="00670552">
              <w:rPr>
                <w:rFonts w:ascii="Arial" w:hAnsi="Arial" w:cs="Arial"/>
                <w:sz w:val="22"/>
                <w:szCs w:val="22"/>
              </w:rPr>
              <w:fldChar w:fldCharType="separate"/>
            </w:r>
            <w:r w:rsidRPr="00670552">
              <w:rPr>
                <w:rFonts w:ascii="Arial" w:hAnsi="Arial"/>
                <w:sz w:val="22"/>
                <w:szCs w:val="22"/>
              </w:rPr>
              <w:t>[3]</w:t>
            </w:r>
            <w:r w:rsidRPr="00670552">
              <w:rPr>
                <w:rFonts w:ascii="Arial" w:hAnsi="Arial" w:cs="Arial"/>
                <w:sz w:val="22"/>
                <w:szCs w:val="22"/>
              </w:rPr>
              <w:fldChar w:fldCharType="end"/>
            </w:r>
            <w:bookmarkEnd w:id="1"/>
            <w:r w:rsidRPr="00670552">
              <w:rPr>
                <w:rFonts w:ascii="Arial" w:hAnsi="Arial" w:cs="Arial"/>
                <w:sz w:val="22"/>
                <w:szCs w:val="22"/>
              </w:rPr>
              <w:t>; and a government report estimated that between 5% and 7% of the population in England and Wales is LGB</w:t>
            </w:r>
            <w:bookmarkStart w:id="2" w:name="_ednref4"/>
            <w:r w:rsidRPr="00670552">
              <w:rPr>
                <w:rFonts w:ascii="Arial" w:hAnsi="Arial" w:cs="Arial"/>
                <w:sz w:val="22"/>
                <w:szCs w:val="22"/>
              </w:rPr>
              <w:fldChar w:fldCharType="begin"/>
            </w:r>
            <w:r w:rsidRPr="00670552">
              <w:rPr>
                <w:rFonts w:ascii="Arial" w:hAnsi="Arial" w:cs="Arial"/>
                <w:sz w:val="22"/>
                <w:szCs w:val="22"/>
              </w:rPr>
              <w:instrText xml:space="preserve"> HYPERLINK "https://www.datarich.info/groups-and-communities/sexual-orientation/" \l "_edn4" </w:instrText>
            </w:r>
            <w:r w:rsidRPr="00670552">
              <w:rPr>
                <w:rFonts w:ascii="Arial" w:hAnsi="Arial" w:cs="Arial"/>
                <w:sz w:val="22"/>
                <w:szCs w:val="22"/>
              </w:rPr>
              <w:fldChar w:fldCharType="separate"/>
            </w:r>
            <w:r w:rsidRPr="00670552">
              <w:rPr>
                <w:rFonts w:ascii="Arial" w:hAnsi="Arial"/>
                <w:sz w:val="22"/>
                <w:szCs w:val="22"/>
              </w:rPr>
              <w:t>[4]</w:t>
            </w:r>
            <w:r w:rsidRPr="00670552">
              <w:rPr>
                <w:rFonts w:ascii="Arial" w:hAnsi="Arial" w:cs="Arial"/>
                <w:sz w:val="22"/>
                <w:szCs w:val="22"/>
              </w:rPr>
              <w:fldChar w:fldCharType="end"/>
            </w:r>
            <w:bookmarkEnd w:id="2"/>
            <w:r w:rsidRPr="00670552">
              <w:rPr>
                <w:rFonts w:ascii="Arial" w:hAnsi="Arial" w:cs="Arial"/>
                <w:sz w:val="22"/>
                <w:szCs w:val="22"/>
              </w:rPr>
              <w:t>. A conservative estimate (5%) equates to 9,500 people in Richmond. However, some local organisations suggest an estimate of 10%, equating to 19,000 people, is more realistic.</w:t>
            </w:r>
          </w:p>
          <w:p w14:paraId="0A87C03B" w14:textId="2D426D50" w:rsidR="00B313E0" w:rsidRPr="000020AA" w:rsidRDefault="000020AA" w:rsidP="00B313E0">
            <w:pPr>
              <w:rPr>
                <w:rFonts w:ascii="Arial" w:hAnsi="Arial"/>
                <w:sz w:val="22"/>
                <w:szCs w:val="22"/>
              </w:rPr>
            </w:pPr>
            <w:r w:rsidRPr="00325BA6" w:rsidDel="000020AA">
              <w:rPr>
                <w:rFonts w:ascii="Arial" w:hAnsi="Arial"/>
                <w:sz w:val="22"/>
              </w:rPr>
              <w:t xml:space="preserve"> </w:t>
            </w:r>
            <w:r w:rsidR="00B313E0" w:rsidRPr="000020AA">
              <w:rPr>
                <w:rFonts w:ascii="Arial" w:hAnsi="Arial"/>
                <w:sz w:val="22"/>
                <w:szCs w:val="22"/>
              </w:rPr>
              <w:t>No specific data is collected on this characteristic as part of the assessment process for CTR.</w:t>
            </w:r>
          </w:p>
          <w:p w14:paraId="14E64BBD" w14:textId="77777777" w:rsidR="00AA6C81" w:rsidRDefault="00AA6C81" w:rsidP="00AA6C81">
            <w:pPr>
              <w:rPr>
                <w:b/>
                <w:lang w:val="en-GB"/>
              </w:rPr>
            </w:pPr>
          </w:p>
        </w:tc>
      </w:tr>
      <w:tr w:rsidR="00472D5D" w14:paraId="4B04770E" w14:textId="77777777" w:rsidTr="00AA6C81">
        <w:trPr>
          <w:trHeight w:val="241"/>
        </w:trPr>
        <w:tc>
          <w:tcPr>
            <w:tcW w:w="1142" w:type="pct"/>
          </w:tcPr>
          <w:p w14:paraId="71D0EF9C" w14:textId="77777777" w:rsidR="00472D5D" w:rsidRDefault="00472D5D" w:rsidP="00097418">
            <w:pPr>
              <w:rPr>
                <w:b/>
                <w:lang w:val="en-GB"/>
              </w:rPr>
            </w:pPr>
            <w:r>
              <w:rPr>
                <w:b/>
                <w:lang w:val="en-GB"/>
              </w:rPr>
              <w:t>Across groups i.e older LGBT service users or bme young men</w:t>
            </w:r>
          </w:p>
        </w:tc>
        <w:tc>
          <w:tcPr>
            <w:tcW w:w="3858" w:type="pct"/>
          </w:tcPr>
          <w:p w14:paraId="77852C61" w14:textId="77777777" w:rsidR="00472D5D" w:rsidRPr="00670552" w:rsidRDefault="00B313E0" w:rsidP="00B313E0">
            <w:pPr>
              <w:rPr>
                <w:lang w:val="en-GB"/>
              </w:rPr>
            </w:pPr>
            <w:r>
              <w:rPr>
                <w:lang w:val="en-GB"/>
              </w:rPr>
              <w:t>From the analysis above no cross-cutting impacts are identified.</w:t>
            </w:r>
          </w:p>
        </w:tc>
      </w:tr>
    </w:tbl>
    <w:p w14:paraId="05582AA2" w14:textId="77777777" w:rsidR="00BF6A6C" w:rsidRDefault="00BF6A6C" w:rsidP="00097418">
      <w:pPr>
        <w:rPr>
          <w:b/>
          <w:lang w:val="en-GB"/>
        </w:rPr>
      </w:pPr>
    </w:p>
    <w:p w14:paraId="344ACBC6" w14:textId="77777777" w:rsidR="003F4905" w:rsidRDefault="003F4905" w:rsidP="00097418">
      <w:pPr>
        <w:rPr>
          <w:b/>
          <w:lang w:val="en-GB"/>
        </w:rPr>
      </w:pPr>
    </w:p>
    <w:p w14:paraId="347843A5" w14:textId="77777777" w:rsidR="003F4905" w:rsidRPr="00BE2FE6" w:rsidRDefault="003F4905" w:rsidP="00BE2FE6">
      <w:pPr>
        <w:pStyle w:val="ListParagraph"/>
        <w:numPr>
          <w:ilvl w:val="0"/>
          <w:numId w:val="3"/>
        </w:numPr>
        <w:rPr>
          <w:b/>
          <w:lang w:val="en-GB"/>
        </w:rPr>
      </w:pPr>
      <w:r w:rsidRPr="00BE2FE6">
        <w:rPr>
          <w:b/>
          <w:lang w:val="en-GB"/>
        </w:rPr>
        <w:t>Impact</w:t>
      </w:r>
    </w:p>
    <w:p w14:paraId="04C7ED2F" w14:textId="77777777" w:rsidR="003F4905" w:rsidRDefault="003F4905" w:rsidP="00097418">
      <w:pPr>
        <w:rPr>
          <w:b/>
          <w:lang w:val="en-GB"/>
        </w:rPr>
      </w:pPr>
    </w:p>
    <w:p w14:paraId="2EEAB9A1" w14:textId="77777777" w:rsidR="003F4905" w:rsidRDefault="003F4905" w:rsidP="00097418">
      <w:pPr>
        <w:rPr>
          <w:b/>
          <w:lang w:val="en-GB"/>
        </w:rPr>
      </w:pPr>
    </w:p>
    <w:tbl>
      <w:tblPr>
        <w:tblStyle w:val="TableGrid"/>
        <w:tblW w:w="0" w:type="auto"/>
        <w:tblLook w:val="04A0" w:firstRow="1" w:lastRow="0" w:firstColumn="1" w:lastColumn="0" w:noHBand="0" w:noVBand="1"/>
      </w:tblPr>
      <w:tblGrid>
        <w:gridCol w:w="1872"/>
        <w:gridCol w:w="3085"/>
        <w:gridCol w:w="4053"/>
      </w:tblGrid>
      <w:tr w:rsidR="003F4905" w14:paraId="4867065C" w14:textId="77777777" w:rsidTr="00BE2FE6">
        <w:tc>
          <w:tcPr>
            <w:tcW w:w="1872" w:type="dxa"/>
          </w:tcPr>
          <w:p w14:paraId="7DE02EB9" w14:textId="77777777" w:rsidR="003F4905" w:rsidRDefault="003F4905" w:rsidP="00AA6C81">
            <w:pPr>
              <w:rPr>
                <w:b/>
                <w:lang w:val="en-GB"/>
              </w:rPr>
            </w:pPr>
            <w:r>
              <w:rPr>
                <w:b/>
                <w:lang w:val="en-GB"/>
              </w:rPr>
              <w:t>Protected group</w:t>
            </w:r>
          </w:p>
        </w:tc>
        <w:tc>
          <w:tcPr>
            <w:tcW w:w="3085" w:type="dxa"/>
          </w:tcPr>
          <w:p w14:paraId="1C6D7C39" w14:textId="77777777" w:rsidR="003F4905" w:rsidRDefault="003F4905" w:rsidP="003F4905">
            <w:pPr>
              <w:rPr>
                <w:b/>
                <w:lang w:val="en-GB"/>
              </w:rPr>
            </w:pPr>
            <w:r>
              <w:rPr>
                <w:b/>
                <w:lang w:val="en-GB"/>
              </w:rPr>
              <w:t>Positive</w:t>
            </w:r>
          </w:p>
        </w:tc>
        <w:tc>
          <w:tcPr>
            <w:tcW w:w="4053" w:type="dxa"/>
          </w:tcPr>
          <w:p w14:paraId="2F436ADA" w14:textId="77777777" w:rsidR="003F4905" w:rsidRDefault="003F4905" w:rsidP="00AA6C81">
            <w:pPr>
              <w:rPr>
                <w:b/>
                <w:lang w:val="en-GB"/>
              </w:rPr>
            </w:pPr>
            <w:r>
              <w:rPr>
                <w:b/>
                <w:lang w:val="en-GB"/>
              </w:rPr>
              <w:t>Negative</w:t>
            </w:r>
          </w:p>
        </w:tc>
      </w:tr>
      <w:tr w:rsidR="003F4905" w14:paraId="738C46BB" w14:textId="77777777" w:rsidTr="00BE2FE6">
        <w:trPr>
          <w:trHeight w:val="339"/>
        </w:trPr>
        <w:tc>
          <w:tcPr>
            <w:tcW w:w="1872" w:type="dxa"/>
          </w:tcPr>
          <w:p w14:paraId="336BD71B" w14:textId="77777777" w:rsidR="003F4905" w:rsidRDefault="003F4905" w:rsidP="00AA6C81">
            <w:pPr>
              <w:rPr>
                <w:b/>
                <w:lang w:val="en-GB"/>
              </w:rPr>
            </w:pPr>
            <w:r>
              <w:rPr>
                <w:b/>
                <w:lang w:val="en-GB"/>
              </w:rPr>
              <w:t>Age</w:t>
            </w:r>
          </w:p>
        </w:tc>
        <w:tc>
          <w:tcPr>
            <w:tcW w:w="3085" w:type="dxa"/>
          </w:tcPr>
          <w:p w14:paraId="4B27FEED" w14:textId="77777777" w:rsidR="003F4905" w:rsidRDefault="00037F2B" w:rsidP="00396AE1">
            <w:pPr>
              <w:jc w:val="both"/>
              <w:rPr>
                <w:rFonts w:ascii="Arial" w:hAnsi="Arial" w:cs="Arial"/>
                <w:sz w:val="22"/>
                <w:szCs w:val="22"/>
                <w:lang w:val="en-GB"/>
              </w:rPr>
            </w:pPr>
            <w:r>
              <w:rPr>
                <w:rFonts w:ascii="Arial" w:hAnsi="Arial" w:cs="Arial"/>
                <w:sz w:val="22"/>
                <w:szCs w:val="22"/>
                <w:lang w:val="en-GB"/>
              </w:rPr>
              <w:t>Pensioners are protected from the impact of changes to the scheme by Government regulation.</w:t>
            </w:r>
          </w:p>
          <w:p w14:paraId="586B94F3" w14:textId="77777777" w:rsidR="00037F2B" w:rsidRDefault="00037F2B" w:rsidP="00396AE1">
            <w:pPr>
              <w:jc w:val="both"/>
              <w:rPr>
                <w:rFonts w:ascii="Arial" w:hAnsi="Arial" w:cs="Arial"/>
                <w:sz w:val="22"/>
                <w:szCs w:val="22"/>
                <w:lang w:val="en-GB"/>
              </w:rPr>
            </w:pPr>
          </w:p>
          <w:p w14:paraId="323E19BA" w14:textId="77777777" w:rsidR="00037F2B" w:rsidRPr="00670552" w:rsidRDefault="00037F2B" w:rsidP="00396AE1">
            <w:pPr>
              <w:jc w:val="both"/>
              <w:rPr>
                <w:rFonts w:ascii="Arial" w:hAnsi="Arial" w:cs="Arial"/>
                <w:sz w:val="22"/>
                <w:szCs w:val="22"/>
                <w:lang w:val="en-GB"/>
              </w:rPr>
            </w:pPr>
            <w:r>
              <w:rPr>
                <w:rFonts w:ascii="Arial" w:hAnsi="Arial" w:cs="Arial"/>
                <w:sz w:val="22"/>
                <w:szCs w:val="22"/>
                <w:lang w:val="en-GB"/>
              </w:rPr>
              <w:t xml:space="preserve">Working age claimants will benefit from the proposed change and there are 1,575 families with </w:t>
            </w:r>
            <w:r w:rsidR="00111A81">
              <w:rPr>
                <w:rFonts w:ascii="Arial" w:hAnsi="Arial" w:cs="Arial"/>
                <w:sz w:val="22"/>
                <w:szCs w:val="22"/>
                <w:lang w:val="en-GB"/>
              </w:rPr>
              <w:t>2,859 children within this group</w:t>
            </w:r>
            <w:r w:rsidR="00071169">
              <w:rPr>
                <w:rFonts w:ascii="Arial" w:hAnsi="Arial" w:cs="Arial"/>
                <w:sz w:val="22"/>
                <w:szCs w:val="22"/>
                <w:lang w:val="en-GB"/>
              </w:rPr>
              <w:t>.</w:t>
            </w:r>
          </w:p>
        </w:tc>
        <w:tc>
          <w:tcPr>
            <w:tcW w:w="4053" w:type="dxa"/>
          </w:tcPr>
          <w:p w14:paraId="136DBA2F" w14:textId="77777777" w:rsidR="003F4905" w:rsidRPr="00AA3593" w:rsidRDefault="00AA3593" w:rsidP="00AA6C81">
            <w:pPr>
              <w:rPr>
                <w:i/>
                <w:lang w:val="en-GB"/>
              </w:rPr>
            </w:pPr>
            <w:r w:rsidRPr="00AA3593">
              <w:rPr>
                <w:i/>
                <w:lang w:val="en-GB"/>
              </w:rPr>
              <w:t>None identified</w:t>
            </w:r>
          </w:p>
        </w:tc>
      </w:tr>
      <w:tr w:rsidR="003F4905" w14:paraId="0463015E" w14:textId="77777777" w:rsidTr="00BE2FE6">
        <w:tc>
          <w:tcPr>
            <w:tcW w:w="1872" w:type="dxa"/>
          </w:tcPr>
          <w:p w14:paraId="678273D6" w14:textId="77777777" w:rsidR="003F4905" w:rsidRDefault="003F4905" w:rsidP="00AA6C81">
            <w:pPr>
              <w:rPr>
                <w:b/>
                <w:lang w:val="en-GB"/>
              </w:rPr>
            </w:pPr>
            <w:r>
              <w:rPr>
                <w:b/>
                <w:lang w:val="en-GB"/>
              </w:rPr>
              <w:t>Disability</w:t>
            </w:r>
          </w:p>
        </w:tc>
        <w:tc>
          <w:tcPr>
            <w:tcW w:w="3085" w:type="dxa"/>
          </w:tcPr>
          <w:p w14:paraId="12A2B4FB" w14:textId="77777777" w:rsidR="003F4905" w:rsidRDefault="00396AE1" w:rsidP="00AA6C81">
            <w:pPr>
              <w:rPr>
                <w:b/>
                <w:lang w:val="en-GB"/>
              </w:rPr>
            </w:pPr>
            <w:r w:rsidRPr="000020AA">
              <w:rPr>
                <w:rFonts w:ascii="Arial" w:hAnsi="Arial"/>
                <w:sz w:val="22"/>
                <w:szCs w:val="22"/>
              </w:rPr>
              <w:t>None identified – current protection offered to applicants receiving disability benefits and to carers will continue.</w:t>
            </w:r>
          </w:p>
        </w:tc>
        <w:tc>
          <w:tcPr>
            <w:tcW w:w="4053" w:type="dxa"/>
          </w:tcPr>
          <w:p w14:paraId="0705CBAB" w14:textId="77777777" w:rsidR="003F4905" w:rsidRPr="00AA3593" w:rsidRDefault="00AA3593" w:rsidP="00AA6C81">
            <w:pPr>
              <w:rPr>
                <w:lang w:val="en-GB"/>
              </w:rPr>
            </w:pPr>
            <w:r w:rsidRPr="00AA3593">
              <w:rPr>
                <w:i/>
                <w:lang w:val="en-GB"/>
              </w:rPr>
              <w:t>None identified</w:t>
            </w:r>
          </w:p>
        </w:tc>
      </w:tr>
      <w:tr w:rsidR="003F4905" w14:paraId="1FDA6C2C" w14:textId="77777777" w:rsidTr="00BE2FE6">
        <w:tc>
          <w:tcPr>
            <w:tcW w:w="1872" w:type="dxa"/>
          </w:tcPr>
          <w:p w14:paraId="653826FF" w14:textId="77777777" w:rsidR="003F4905" w:rsidRDefault="003F4905" w:rsidP="00AA6C81">
            <w:pPr>
              <w:rPr>
                <w:b/>
                <w:lang w:val="en-GB"/>
              </w:rPr>
            </w:pPr>
            <w:r>
              <w:rPr>
                <w:b/>
                <w:lang w:val="en-GB"/>
              </w:rPr>
              <w:t>Gender (sex)</w:t>
            </w:r>
          </w:p>
        </w:tc>
        <w:tc>
          <w:tcPr>
            <w:tcW w:w="3085" w:type="dxa"/>
          </w:tcPr>
          <w:p w14:paraId="363CF927" w14:textId="77777777" w:rsidR="000020AA" w:rsidRPr="000020AA" w:rsidRDefault="000020AA" w:rsidP="000020AA">
            <w:pPr>
              <w:rPr>
                <w:rFonts w:ascii="Arial" w:hAnsi="Arial"/>
                <w:sz w:val="22"/>
                <w:szCs w:val="22"/>
              </w:rPr>
            </w:pPr>
            <w:r>
              <w:rPr>
                <w:rFonts w:ascii="Arial" w:hAnsi="Arial"/>
                <w:sz w:val="22"/>
              </w:rPr>
              <w:t xml:space="preserve">Women are disproportionately represented amongst the current </w:t>
            </w:r>
            <w:r>
              <w:rPr>
                <w:rFonts w:ascii="Arial" w:hAnsi="Arial"/>
                <w:sz w:val="22"/>
                <w:szCs w:val="22"/>
              </w:rPr>
              <w:t xml:space="preserve">caseload. Therefore, </w:t>
            </w:r>
            <w:r>
              <w:rPr>
                <w:rFonts w:ascii="Arial" w:hAnsi="Arial"/>
                <w:sz w:val="22"/>
              </w:rPr>
              <w:t>although the policy change is applied universally, women would benefit from this policy change in greater numbers.</w:t>
            </w:r>
          </w:p>
          <w:p w14:paraId="5C2F11F3" w14:textId="77777777" w:rsidR="003F4905" w:rsidRDefault="003F4905" w:rsidP="000020AA">
            <w:pPr>
              <w:rPr>
                <w:b/>
                <w:lang w:val="en-GB"/>
              </w:rPr>
            </w:pPr>
          </w:p>
        </w:tc>
        <w:tc>
          <w:tcPr>
            <w:tcW w:w="4053" w:type="dxa"/>
          </w:tcPr>
          <w:p w14:paraId="14D08DBE" w14:textId="77777777" w:rsidR="003F4905" w:rsidRDefault="00AA3593" w:rsidP="00AA6C81">
            <w:pPr>
              <w:rPr>
                <w:b/>
                <w:lang w:val="en-GB"/>
              </w:rPr>
            </w:pPr>
            <w:r w:rsidRPr="00AA3593">
              <w:rPr>
                <w:i/>
                <w:lang w:val="en-GB"/>
              </w:rPr>
              <w:t>None identified</w:t>
            </w:r>
          </w:p>
        </w:tc>
      </w:tr>
      <w:tr w:rsidR="003F4905" w14:paraId="3E628C0A" w14:textId="77777777" w:rsidTr="00BE2FE6">
        <w:tc>
          <w:tcPr>
            <w:tcW w:w="1872" w:type="dxa"/>
          </w:tcPr>
          <w:p w14:paraId="197485AA" w14:textId="77777777" w:rsidR="003F4905" w:rsidRDefault="003F4905" w:rsidP="00AA6C81">
            <w:pPr>
              <w:rPr>
                <w:b/>
                <w:lang w:val="en-GB"/>
              </w:rPr>
            </w:pPr>
            <w:r>
              <w:rPr>
                <w:b/>
                <w:lang w:val="en-GB"/>
              </w:rPr>
              <w:t>Gender reassignment</w:t>
            </w:r>
          </w:p>
        </w:tc>
        <w:tc>
          <w:tcPr>
            <w:tcW w:w="3085" w:type="dxa"/>
          </w:tcPr>
          <w:p w14:paraId="26388EA5" w14:textId="77777777" w:rsidR="003F4905" w:rsidRDefault="000020AA" w:rsidP="00AA6C81">
            <w:pPr>
              <w:rPr>
                <w:b/>
                <w:lang w:val="en-GB"/>
              </w:rPr>
            </w:pPr>
            <w:r w:rsidRPr="00AA3593">
              <w:rPr>
                <w:i/>
                <w:lang w:val="en-GB"/>
              </w:rPr>
              <w:t>None identified</w:t>
            </w:r>
          </w:p>
        </w:tc>
        <w:tc>
          <w:tcPr>
            <w:tcW w:w="4053" w:type="dxa"/>
          </w:tcPr>
          <w:p w14:paraId="62C51925" w14:textId="77777777" w:rsidR="003F4905" w:rsidRDefault="00AA3593" w:rsidP="00AA6C81">
            <w:pPr>
              <w:rPr>
                <w:b/>
                <w:lang w:val="en-GB"/>
              </w:rPr>
            </w:pPr>
            <w:r w:rsidRPr="00AA3593">
              <w:rPr>
                <w:i/>
                <w:lang w:val="en-GB"/>
              </w:rPr>
              <w:t>None identified</w:t>
            </w:r>
          </w:p>
        </w:tc>
      </w:tr>
      <w:tr w:rsidR="003F4905" w14:paraId="7DD47DED" w14:textId="77777777" w:rsidTr="00BE2FE6">
        <w:tc>
          <w:tcPr>
            <w:tcW w:w="1872" w:type="dxa"/>
          </w:tcPr>
          <w:p w14:paraId="65A32F2D" w14:textId="77777777" w:rsidR="003F4905" w:rsidRDefault="003F4905" w:rsidP="00AA6C81">
            <w:pPr>
              <w:rPr>
                <w:b/>
                <w:lang w:val="en-GB"/>
              </w:rPr>
            </w:pPr>
            <w:r>
              <w:rPr>
                <w:b/>
                <w:lang w:val="en-GB"/>
              </w:rPr>
              <w:t>Marriage and civil partnership</w:t>
            </w:r>
          </w:p>
        </w:tc>
        <w:tc>
          <w:tcPr>
            <w:tcW w:w="3085" w:type="dxa"/>
          </w:tcPr>
          <w:p w14:paraId="4055BF7E" w14:textId="77777777" w:rsidR="003F4905" w:rsidRDefault="000020AA" w:rsidP="00AA6C81">
            <w:pPr>
              <w:rPr>
                <w:b/>
                <w:lang w:val="en-GB"/>
              </w:rPr>
            </w:pPr>
            <w:r w:rsidRPr="00AA3593">
              <w:rPr>
                <w:i/>
                <w:lang w:val="en-GB"/>
              </w:rPr>
              <w:t>None identified</w:t>
            </w:r>
          </w:p>
        </w:tc>
        <w:tc>
          <w:tcPr>
            <w:tcW w:w="4053" w:type="dxa"/>
          </w:tcPr>
          <w:p w14:paraId="34A01F10" w14:textId="77777777" w:rsidR="003F4905" w:rsidRDefault="00AA3593" w:rsidP="00AA6C81">
            <w:pPr>
              <w:rPr>
                <w:b/>
                <w:lang w:val="en-GB"/>
              </w:rPr>
            </w:pPr>
            <w:r w:rsidRPr="00AA3593">
              <w:rPr>
                <w:i/>
                <w:lang w:val="en-GB"/>
              </w:rPr>
              <w:t>None identified</w:t>
            </w:r>
          </w:p>
        </w:tc>
      </w:tr>
      <w:tr w:rsidR="003F4905" w14:paraId="787593AE" w14:textId="77777777" w:rsidTr="00BE2FE6">
        <w:tc>
          <w:tcPr>
            <w:tcW w:w="1872" w:type="dxa"/>
          </w:tcPr>
          <w:p w14:paraId="5BEFFA7C" w14:textId="77777777" w:rsidR="003F4905" w:rsidRDefault="003F4905" w:rsidP="00AA6C81">
            <w:pPr>
              <w:rPr>
                <w:b/>
                <w:lang w:val="en-GB"/>
              </w:rPr>
            </w:pPr>
            <w:r>
              <w:rPr>
                <w:b/>
                <w:lang w:val="en-GB"/>
              </w:rPr>
              <w:t>Pregnancy and maternity</w:t>
            </w:r>
          </w:p>
        </w:tc>
        <w:tc>
          <w:tcPr>
            <w:tcW w:w="3085" w:type="dxa"/>
          </w:tcPr>
          <w:p w14:paraId="20695DF6" w14:textId="77777777" w:rsidR="003F4905" w:rsidRPr="000020AA" w:rsidRDefault="000020AA" w:rsidP="000020AA">
            <w:pPr>
              <w:jc w:val="both"/>
              <w:rPr>
                <w:rFonts w:ascii="Arial" w:hAnsi="Arial"/>
                <w:sz w:val="22"/>
              </w:rPr>
            </w:pPr>
            <w:r w:rsidRPr="00325BA6">
              <w:rPr>
                <w:rFonts w:ascii="Arial" w:hAnsi="Arial"/>
                <w:sz w:val="22"/>
              </w:rPr>
              <w:t>Applicants leaving or reducing work as a result of pregnancy or maternity will see a greater increase in CTR as a result of their reduced earnings than previously</w:t>
            </w:r>
            <w:r>
              <w:rPr>
                <w:rFonts w:ascii="Arial" w:hAnsi="Arial"/>
                <w:sz w:val="22"/>
              </w:rPr>
              <w:t>.</w:t>
            </w:r>
          </w:p>
        </w:tc>
        <w:tc>
          <w:tcPr>
            <w:tcW w:w="4053" w:type="dxa"/>
          </w:tcPr>
          <w:p w14:paraId="054663F6" w14:textId="77777777" w:rsidR="003F4905" w:rsidRDefault="00AA3593" w:rsidP="00AA6C81">
            <w:pPr>
              <w:rPr>
                <w:b/>
                <w:lang w:val="en-GB"/>
              </w:rPr>
            </w:pPr>
            <w:r w:rsidRPr="00AA3593">
              <w:rPr>
                <w:i/>
                <w:lang w:val="en-GB"/>
              </w:rPr>
              <w:t>None identified</w:t>
            </w:r>
          </w:p>
        </w:tc>
      </w:tr>
      <w:tr w:rsidR="003F4905" w14:paraId="00350A59" w14:textId="77777777" w:rsidTr="00BE2FE6">
        <w:tc>
          <w:tcPr>
            <w:tcW w:w="1872" w:type="dxa"/>
          </w:tcPr>
          <w:p w14:paraId="51AF66B5" w14:textId="77777777" w:rsidR="003F4905" w:rsidRDefault="003F4905" w:rsidP="00AA6C81">
            <w:pPr>
              <w:rPr>
                <w:b/>
                <w:lang w:val="en-GB"/>
              </w:rPr>
            </w:pPr>
            <w:r>
              <w:rPr>
                <w:b/>
                <w:lang w:val="en-GB"/>
              </w:rPr>
              <w:t>Race/ethnicity</w:t>
            </w:r>
          </w:p>
        </w:tc>
        <w:tc>
          <w:tcPr>
            <w:tcW w:w="3085" w:type="dxa"/>
          </w:tcPr>
          <w:p w14:paraId="51040831" w14:textId="77777777" w:rsidR="003F4905" w:rsidRDefault="000020AA" w:rsidP="00AA6C81">
            <w:pPr>
              <w:rPr>
                <w:b/>
                <w:lang w:val="en-GB"/>
              </w:rPr>
            </w:pPr>
            <w:r w:rsidRPr="00AA3593">
              <w:rPr>
                <w:i/>
                <w:lang w:val="en-GB"/>
              </w:rPr>
              <w:t>None identified</w:t>
            </w:r>
          </w:p>
        </w:tc>
        <w:tc>
          <w:tcPr>
            <w:tcW w:w="4053" w:type="dxa"/>
          </w:tcPr>
          <w:p w14:paraId="22BB22DC" w14:textId="77777777" w:rsidR="003F4905" w:rsidRDefault="00AA3593" w:rsidP="00AA6C81">
            <w:pPr>
              <w:rPr>
                <w:b/>
                <w:lang w:val="en-GB"/>
              </w:rPr>
            </w:pPr>
            <w:r w:rsidRPr="00AA3593">
              <w:rPr>
                <w:i/>
                <w:lang w:val="en-GB"/>
              </w:rPr>
              <w:t>None identified</w:t>
            </w:r>
          </w:p>
        </w:tc>
      </w:tr>
      <w:tr w:rsidR="003F4905" w14:paraId="48287687" w14:textId="77777777" w:rsidTr="00BE2FE6">
        <w:tc>
          <w:tcPr>
            <w:tcW w:w="1872" w:type="dxa"/>
          </w:tcPr>
          <w:p w14:paraId="0DDAA332" w14:textId="77777777" w:rsidR="003F4905" w:rsidRDefault="003F4905" w:rsidP="00AA6C81">
            <w:pPr>
              <w:rPr>
                <w:b/>
                <w:lang w:val="en-GB"/>
              </w:rPr>
            </w:pPr>
            <w:r>
              <w:rPr>
                <w:b/>
                <w:lang w:val="en-GB"/>
              </w:rPr>
              <w:t>Religion and belief, including non belief</w:t>
            </w:r>
          </w:p>
        </w:tc>
        <w:tc>
          <w:tcPr>
            <w:tcW w:w="3085" w:type="dxa"/>
          </w:tcPr>
          <w:p w14:paraId="17B364BF" w14:textId="77777777" w:rsidR="003F4905" w:rsidRDefault="000020AA" w:rsidP="00AA6C81">
            <w:pPr>
              <w:rPr>
                <w:b/>
                <w:lang w:val="en-GB"/>
              </w:rPr>
            </w:pPr>
            <w:r w:rsidRPr="00AA3593">
              <w:rPr>
                <w:i/>
                <w:lang w:val="en-GB"/>
              </w:rPr>
              <w:t>None identified</w:t>
            </w:r>
          </w:p>
        </w:tc>
        <w:tc>
          <w:tcPr>
            <w:tcW w:w="4053" w:type="dxa"/>
          </w:tcPr>
          <w:p w14:paraId="582CC257" w14:textId="77777777" w:rsidR="003F4905" w:rsidRDefault="00AA3593" w:rsidP="00AA6C81">
            <w:pPr>
              <w:rPr>
                <w:b/>
                <w:lang w:val="en-GB"/>
              </w:rPr>
            </w:pPr>
            <w:r w:rsidRPr="00AA3593">
              <w:rPr>
                <w:i/>
                <w:lang w:val="en-GB"/>
              </w:rPr>
              <w:t>None identified</w:t>
            </w:r>
          </w:p>
        </w:tc>
      </w:tr>
      <w:tr w:rsidR="003F4905" w14:paraId="69C62997" w14:textId="77777777" w:rsidTr="00BE2FE6">
        <w:tc>
          <w:tcPr>
            <w:tcW w:w="1872" w:type="dxa"/>
          </w:tcPr>
          <w:p w14:paraId="5357ECD0" w14:textId="77777777" w:rsidR="003F4905" w:rsidRDefault="003F4905" w:rsidP="00AA6C81">
            <w:pPr>
              <w:rPr>
                <w:b/>
                <w:lang w:val="en-GB"/>
              </w:rPr>
            </w:pPr>
            <w:r>
              <w:rPr>
                <w:b/>
                <w:lang w:val="en-GB"/>
              </w:rPr>
              <w:t>Sexual orientation</w:t>
            </w:r>
          </w:p>
        </w:tc>
        <w:tc>
          <w:tcPr>
            <w:tcW w:w="3085" w:type="dxa"/>
          </w:tcPr>
          <w:p w14:paraId="6F24C43F" w14:textId="77777777" w:rsidR="003F4905" w:rsidRDefault="000020AA" w:rsidP="00AA6C81">
            <w:pPr>
              <w:rPr>
                <w:b/>
                <w:lang w:val="en-GB"/>
              </w:rPr>
            </w:pPr>
            <w:r w:rsidRPr="00AA3593">
              <w:rPr>
                <w:i/>
                <w:lang w:val="en-GB"/>
              </w:rPr>
              <w:t>None identified</w:t>
            </w:r>
          </w:p>
        </w:tc>
        <w:tc>
          <w:tcPr>
            <w:tcW w:w="4053" w:type="dxa"/>
          </w:tcPr>
          <w:p w14:paraId="7089992C" w14:textId="77777777" w:rsidR="003F4905" w:rsidRDefault="00AA3593" w:rsidP="00AA6C81">
            <w:pPr>
              <w:rPr>
                <w:b/>
                <w:lang w:val="en-GB"/>
              </w:rPr>
            </w:pPr>
            <w:r w:rsidRPr="00AA3593">
              <w:rPr>
                <w:i/>
                <w:lang w:val="en-GB"/>
              </w:rPr>
              <w:t>None identified</w:t>
            </w:r>
          </w:p>
        </w:tc>
      </w:tr>
    </w:tbl>
    <w:p w14:paraId="72366264" w14:textId="77777777" w:rsidR="003F4905" w:rsidRDefault="003F4905" w:rsidP="00097418">
      <w:pPr>
        <w:rPr>
          <w:b/>
          <w:lang w:val="en-GB"/>
        </w:rPr>
      </w:pPr>
    </w:p>
    <w:p w14:paraId="79EECC20" w14:textId="77777777" w:rsidR="00BE2FE6" w:rsidRDefault="00BE2FE6" w:rsidP="00097418">
      <w:pPr>
        <w:rPr>
          <w:lang w:val="en-GB"/>
        </w:rPr>
      </w:pPr>
    </w:p>
    <w:tbl>
      <w:tblPr>
        <w:tblStyle w:val="TableGrid"/>
        <w:tblW w:w="0" w:type="auto"/>
        <w:tblLook w:val="04A0" w:firstRow="1" w:lastRow="0" w:firstColumn="1" w:lastColumn="0" w:noHBand="0" w:noVBand="1"/>
      </w:tblPr>
      <w:tblGrid>
        <w:gridCol w:w="6382"/>
        <w:gridCol w:w="1403"/>
        <w:gridCol w:w="1225"/>
      </w:tblGrid>
      <w:tr w:rsidR="00BE2FE6" w14:paraId="694D57E9" w14:textId="77777777" w:rsidTr="00670552">
        <w:tc>
          <w:tcPr>
            <w:tcW w:w="6382" w:type="dxa"/>
          </w:tcPr>
          <w:p w14:paraId="5919D458" w14:textId="77777777" w:rsidR="00BE2FE6" w:rsidRPr="006F44AD" w:rsidRDefault="00BE2FE6" w:rsidP="00097418">
            <w:pPr>
              <w:rPr>
                <w:b/>
                <w:lang w:val="en-GB"/>
              </w:rPr>
            </w:pPr>
            <w:r w:rsidRPr="006F44AD">
              <w:rPr>
                <w:b/>
                <w:lang w:val="en-GB"/>
              </w:rPr>
              <w:t>Action</w:t>
            </w:r>
          </w:p>
        </w:tc>
        <w:tc>
          <w:tcPr>
            <w:tcW w:w="1403" w:type="dxa"/>
          </w:tcPr>
          <w:p w14:paraId="4EF42363" w14:textId="77777777" w:rsidR="00BE2FE6" w:rsidRPr="006F44AD" w:rsidRDefault="00BE2FE6" w:rsidP="00097418">
            <w:pPr>
              <w:rPr>
                <w:b/>
                <w:lang w:val="en-GB"/>
              </w:rPr>
            </w:pPr>
            <w:r w:rsidRPr="006F44AD">
              <w:rPr>
                <w:b/>
                <w:lang w:val="en-GB"/>
              </w:rPr>
              <w:t>Lead Officer</w:t>
            </w:r>
          </w:p>
        </w:tc>
        <w:tc>
          <w:tcPr>
            <w:tcW w:w="1225" w:type="dxa"/>
          </w:tcPr>
          <w:p w14:paraId="06FE6AA1" w14:textId="77777777" w:rsidR="00BE2FE6" w:rsidRPr="006F44AD" w:rsidRDefault="00BE2FE6" w:rsidP="00097418">
            <w:pPr>
              <w:rPr>
                <w:b/>
                <w:lang w:val="en-GB"/>
              </w:rPr>
            </w:pPr>
            <w:r w:rsidRPr="006F44AD">
              <w:rPr>
                <w:b/>
                <w:lang w:val="en-GB"/>
              </w:rPr>
              <w:t>Deadline</w:t>
            </w:r>
          </w:p>
        </w:tc>
      </w:tr>
      <w:tr w:rsidR="00BE2FE6" w14:paraId="44C3BDF2" w14:textId="77777777" w:rsidTr="00670552">
        <w:tc>
          <w:tcPr>
            <w:tcW w:w="6382" w:type="dxa"/>
          </w:tcPr>
          <w:p w14:paraId="5732730A" w14:textId="77777777" w:rsidR="00BE2FE6" w:rsidRDefault="002F1652" w:rsidP="00097418">
            <w:pPr>
              <w:rPr>
                <w:lang w:val="en-GB"/>
              </w:rPr>
            </w:pPr>
            <w:r>
              <w:rPr>
                <w:lang w:val="en-GB"/>
              </w:rPr>
              <w:t>Public Consultation process</w:t>
            </w:r>
          </w:p>
        </w:tc>
        <w:tc>
          <w:tcPr>
            <w:tcW w:w="1403" w:type="dxa"/>
          </w:tcPr>
          <w:p w14:paraId="457427F7" w14:textId="04354F6F" w:rsidR="00BE2FE6" w:rsidRDefault="002F1652" w:rsidP="00097418">
            <w:pPr>
              <w:rPr>
                <w:lang w:val="en-GB"/>
              </w:rPr>
            </w:pPr>
            <w:r>
              <w:rPr>
                <w:lang w:val="en-GB"/>
              </w:rPr>
              <w:t>Graham Russell</w:t>
            </w:r>
          </w:p>
        </w:tc>
        <w:tc>
          <w:tcPr>
            <w:tcW w:w="1225" w:type="dxa"/>
          </w:tcPr>
          <w:p w14:paraId="142E06B3" w14:textId="77777777" w:rsidR="00BE2FE6" w:rsidRDefault="002F1652" w:rsidP="00097418">
            <w:pPr>
              <w:rPr>
                <w:lang w:val="en-GB"/>
              </w:rPr>
            </w:pPr>
            <w:r>
              <w:rPr>
                <w:lang w:val="en-GB"/>
              </w:rPr>
              <w:t>December ‘18</w:t>
            </w:r>
          </w:p>
        </w:tc>
      </w:tr>
    </w:tbl>
    <w:p w14:paraId="7653B390" w14:textId="77777777" w:rsidR="00BE2FE6" w:rsidRDefault="00BE2FE6" w:rsidP="00097418">
      <w:pPr>
        <w:rPr>
          <w:lang w:val="en-GB"/>
        </w:rPr>
      </w:pPr>
    </w:p>
    <w:p w14:paraId="041C9586" w14:textId="77777777" w:rsidR="006F44AD" w:rsidRDefault="006F44AD" w:rsidP="006F44AD">
      <w:pPr>
        <w:pStyle w:val="ListParagraph"/>
        <w:rPr>
          <w:b/>
          <w:lang w:val="en-GB"/>
        </w:rPr>
      </w:pPr>
    </w:p>
    <w:p w14:paraId="57A0F30B" w14:textId="77777777" w:rsidR="00BE2FE6" w:rsidRDefault="00BE2FE6" w:rsidP="00BE2FE6">
      <w:pPr>
        <w:pStyle w:val="ListParagraph"/>
        <w:numPr>
          <w:ilvl w:val="0"/>
          <w:numId w:val="3"/>
        </w:numPr>
        <w:rPr>
          <w:b/>
          <w:lang w:val="en-GB"/>
        </w:rPr>
      </w:pPr>
      <w:r w:rsidRPr="00BE2FE6">
        <w:rPr>
          <w:b/>
          <w:lang w:val="en-GB"/>
        </w:rPr>
        <w:t>Consultation.</w:t>
      </w:r>
      <w:r w:rsidR="006F44AD">
        <w:rPr>
          <w:b/>
          <w:lang w:val="en-GB"/>
        </w:rPr>
        <w:t xml:space="preserve"> (optional section– as appropriate)</w:t>
      </w:r>
    </w:p>
    <w:p w14:paraId="0874BEDA" w14:textId="77777777" w:rsidR="006F44AD" w:rsidRDefault="006F44AD" w:rsidP="00BE2FE6">
      <w:pPr>
        <w:rPr>
          <w:lang w:val="en-GB"/>
        </w:rPr>
      </w:pPr>
    </w:p>
    <w:tbl>
      <w:tblPr>
        <w:tblStyle w:val="TableGrid"/>
        <w:tblW w:w="0" w:type="auto"/>
        <w:tblLook w:val="04A0" w:firstRow="1" w:lastRow="0" w:firstColumn="1" w:lastColumn="0" w:noHBand="0" w:noVBand="1"/>
      </w:tblPr>
      <w:tblGrid>
        <w:gridCol w:w="9010"/>
      </w:tblGrid>
      <w:tr w:rsidR="006F44AD" w14:paraId="3006BF8D" w14:textId="77777777" w:rsidTr="006F44AD">
        <w:tc>
          <w:tcPr>
            <w:tcW w:w="9010" w:type="dxa"/>
          </w:tcPr>
          <w:p w14:paraId="4C70CD10" w14:textId="450D3891" w:rsidR="006F44AD" w:rsidRDefault="002F1652" w:rsidP="00BE2FE6">
            <w:pPr>
              <w:rPr>
                <w:lang w:val="en-GB"/>
              </w:rPr>
            </w:pPr>
            <w:r>
              <w:rPr>
                <w:lang w:val="en-GB"/>
              </w:rPr>
              <w:t xml:space="preserve"> </w:t>
            </w:r>
          </w:p>
          <w:p w14:paraId="1E77AEB1" w14:textId="77777777" w:rsidR="00037F2B" w:rsidRDefault="00037F2B" w:rsidP="00BE2FE6">
            <w:pPr>
              <w:rPr>
                <w:lang w:val="en-GB"/>
              </w:rPr>
            </w:pPr>
            <w:r>
              <w:rPr>
                <w:lang w:val="en-GB"/>
              </w:rPr>
              <w:t>The Council will write to all current working age recipients inviting them to take part in the consultation.</w:t>
            </w:r>
          </w:p>
          <w:p w14:paraId="7075788A" w14:textId="77777777" w:rsidR="00037F2B" w:rsidRDefault="00037F2B" w:rsidP="00BE2FE6">
            <w:pPr>
              <w:rPr>
                <w:lang w:val="en-GB"/>
              </w:rPr>
            </w:pPr>
          </w:p>
          <w:p w14:paraId="659E47D5" w14:textId="77777777" w:rsidR="00037F2B" w:rsidRDefault="00037F2B" w:rsidP="00BE2FE6">
            <w:pPr>
              <w:rPr>
                <w:lang w:val="en-GB"/>
              </w:rPr>
            </w:pPr>
            <w:r>
              <w:rPr>
                <w:lang w:val="en-GB"/>
              </w:rPr>
              <w:t>The wider public will be able to access the consultation via the Council’s website.</w:t>
            </w:r>
          </w:p>
          <w:p w14:paraId="0436A068" w14:textId="77777777" w:rsidR="00037F2B" w:rsidRDefault="00037F2B" w:rsidP="00BE2FE6">
            <w:pPr>
              <w:rPr>
                <w:lang w:val="en-GB"/>
              </w:rPr>
            </w:pPr>
          </w:p>
          <w:p w14:paraId="3EB46A15" w14:textId="77777777" w:rsidR="00037F2B" w:rsidRDefault="00037F2B" w:rsidP="00BE2FE6">
            <w:pPr>
              <w:rPr>
                <w:lang w:val="en-GB"/>
              </w:rPr>
            </w:pPr>
            <w:r>
              <w:rPr>
                <w:lang w:val="en-GB"/>
              </w:rPr>
              <w:t>We will also invite advocacy groups / welfare organisations etc. e.g. Citizens Advice Richmond, Richmond Housing Partnership to take part in the consultation</w:t>
            </w:r>
          </w:p>
          <w:p w14:paraId="2A56793A" w14:textId="77777777" w:rsidR="006F44AD" w:rsidRDefault="006F44AD" w:rsidP="00BE2FE6">
            <w:pPr>
              <w:rPr>
                <w:lang w:val="en-GB"/>
              </w:rPr>
            </w:pPr>
          </w:p>
          <w:p w14:paraId="5275787E" w14:textId="77777777" w:rsidR="006F44AD" w:rsidRDefault="006F44AD" w:rsidP="00BE2FE6">
            <w:pPr>
              <w:rPr>
                <w:lang w:val="en-GB"/>
              </w:rPr>
            </w:pPr>
          </w:p>
          <w:p w14:paraId="7F9C4C1E" w14:textId="77777777" w:rsidR="006F44AD" w:rsidRDefault="006F44AD" w:rsidP="00BE2FE6">
            <w:pPr>
              <w:rPr>
                <w:lang w:val="en-GB"/>
              </w:rPr>
            </w:pPr>
          </w:p>
          <w:p w14:paraId="2A210CA4" w14:textId="77777777" w:rsidR="006F44AD" w:rsidRDefault="006F44AD" w:rsidP="00BE2FE6">
            <w:pPr>
              <w:rPr>
                <w:lang w:val="en-GB"/>
              </w:rPr>
            </w:pPr>
          </w:p>
          <w:p w14:paraId="50EEBF3A" w14:textId="77777777" w:rsidR="006F44AD" w:rsidRDefault="006F44AD" w:rsidP="00BE2FE6">
            <w:pPr>
              <w:rPr>
                <w:lang w:val="en-GB"/>
              </w:rPr>
            </w:pPr>
          </w:p>
          <w:p w14:paraId="722AF121" w14:textId="77777777" w:rsidR="006F44AD" w:rsidRDefault="006F44AD" w:rsidP="00BE2FE6">
            <w:pPr>
              <w:rPr>
                <w:lang w:val="en-GB"/>
              </w:rPr>
            </w:pPr>
          </w:p>
          <w:p w14:paraId="74716FC1" w14:textId="77777777" w:rsidR="006F44AD" w:rsidRDefault="006F44AD" w:rsidP="00BE2FE6">
            <w:pPr>
              <w:rPr>
                <w:lang w:val="en-GB"/>
              </w:rPr>
            </w:pPr>
          </w:p>
          <w:p w14:paraId="3ED92730" w14:textId="77777777" w:rsidR="006F44AD" w:rsidRDefault="006F44AD" w:rsidP="00BE2FE6">
            <w:pPr>
              <w:rPr>
                <w:lang w:val="en-GB"/>
              </w:rPr>
            </w:pPr>
          </w:p>
          <w:p w14:paraId="2BC141D1" w14:textId="77777777" w:rsidR="006F44AD" w:rsidRDefault="006F44AD" w:rsidP="00BE2FE6">
            <w:pPr>
              <w:rPr>
                <w:lang w:val="en-GB"/>
              </w:rPr>
            </w:pPr>
          </w:p>
        </w:tc>
      </w:tr>
    </w:tbl>
    <w:p w14:paraId="0DEF48C9" w14:textId="77777777" w:rsidR="006F44AD" w:rsidRPr="00BE2FE6" w:rsidRDefault="006F44AD" w:rsidP="00BE2FE6">
      <w:pPr>
        <w:rPr>
          <w:lang w:val="en-GB"/>
        </w:rPr>
      </w:pPr>
    </w:p>
    <w:p w14:paraId="2FC80237" w14:textId="77777777" w:rsidR="00BE2FE6" w:rsidRPr="00BE2FE6" w:rsidRDefault="00BE2FE6" w:rsidP="00097418">
      <w:pPr>
        <w:rPr>
          <w:lang w:val="en-GB"/>
        </w:rPr>
      </w:pPr>
    </w:p>
    <w:sectPr w:rsidR="00BE2FE6" w:rsidRPr="00BE2FE6" w:rsidSect="00E06E57">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F846" w14:textId="77777777" w:rsidR="002D02E8" w:rsidRDefault="002D02E8" w:rsidP="00194C84">
      <w:r>
        <w:separator/>
      </w:r>
    </w:p>
  </w:endnote>
  <w:endnote w:type="continuationSeparator" w:id="0">
    <w:p w14:paraId="0F310074" w14:textId="77777777" w:rsidR="002D02E8" w:rsidRDefault="002D02E8" w:rsidP="0019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5433" w14:textId="77777777" w:rsidR="003D529D" w:rsidRDefault="003D5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1D1B" w14:textId="77777777" w:rsidR="003D529D" w:rsidRDefault="003D5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DC8E" w14:textId="77777777" w:rsidR="003D529D" w:rsidRDefault="003D5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B563A" w14:textId="77777777" w:rsidR="002D02E8" w:rsidRDefault="002D02E8" w:rsidP="00194C84">
      <w:r>
        <w:separator/>
      </w:r>
    </w:p>
  </w:footnote>
  <w:footnote w:type="continuationSeparator" w:id="0">
    <w:p w14:paraId="73192862" w14:textId="77777777" w:rsidR="002D02E8" w:rsidRDefault="002D02E8" w:rsidP="0019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C85E" w14:textId="77777777" w:rsidR="003D529D" w:rsidRDefault="003D5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C594" w14:textId="77777777" w:rsidR="00B313E0" w:rsidRDefault="00B313E0">
    <w:pPr>
      <w:pStyle w:val="Header"/>
    </w:pPr>
    <w:r>
      <w:rPr>
        <w:noProof/>
        <w:lang w:val="en-GB" w:eastAsia="en-GB"/>
      </w:rPr>
      <mc:AlternateContent>
        <mc:Choice Requires="wps">
          <w:drawing>
            <wp:anchor distT="0" distB="0" distL="114300" distR="114300" simplePos="0" relativeHeight="251660288" behindDoc="0" locked="0" layoutInCell="0" allowOverlap="1" wp14:anchorId="42696591" wp14:editId="606A33D4">
              <wp:simplePos x="0" y="0"/>
              <wp:positionH relativeFrom="page">
                <wp:posOffset>0</wp:posOffset>
              </wp:positionH>
              <wp:positionV relativeFrom="page">
                <wp:posOffset>190500</wp:posOffset>
              </wp:positionV>
              <wp:extent cx="7556500" cy="273050"/>
              <wp:effectExtent l="0" t="0" r="0" b="12700"/>
              <wp:wrapNone/>
              <wp:docPr id="2" name="MSIPCM18e847779a2700c82c381c37"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1C754" w14:textId="77777777" w:rsidR="00B313E0" w:rsidRPr="00AA6C81" w:rsidRDefault="00B313E0" w:rsidP="00AA6C81">
                          <w:pPr>
                            <w:rPr>
                              <w:rFonts w:ascii="Calibri" w:hAnsi="Calibri"/>
                              <w:color w:val="000000"/>
                              <w:sz w:val="20"/>
                            </w:rPr>
                          </w:pPr>
                          <w:r w:rsidRPr="00AA6C8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6D9EFF2" id="_x0000_t202" coordsize="21600,21600" o:spt="202" path="m,l,21600r21600,l21600,xe">
              <v:stroke joinstyle="miter"/>
              <v:path gradientshapeok="t" o:connecttype="rect"/>
            </v:shapetype>
            <v:shape id="MSIPCM18e847779a2700c82c381c37" o:spid="_x0000_s1026" type="#_x0000_t202" alt="{&quot;HashCode&quot;:1987674191,&quot;Height&quot;:842.0,&quot;Width&quot;:595.0,&quot;Placement&quot;:&quot;Header&quot;,&quot;Index&quot;:&quot;Primary&quot;,&quot;Section&quot;:1,&quot;Top&quot;:0.0,&quot;Left&quot;:0.0}" style="position:absolute;margin-left:0;margin-top:1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" o:allowincell="f" filled="f" stroked="f" strokeweight=".5pt">
              <v:textbox inset="20pt,0,,0">
                <w:txbxContent>
                  <w:p w:rsidR="00B313E0" w:rsidRPr="00AA6C81" w:rsidRDefault="00B313E0" w:rsidP="00AA6C81">
                    <w:pPr>
                      <w:rPr>
                        <w:rFonts w:ascii="Calibri" w:hAnsi="Calibri"/>
                        <w:color w:val="000000"/>
                        <w:sz w:val="20"/>
                      </w:rPr>
                    </w:pPr>
                    <w:r w:rsidRPr="00AA6C81">
                      <w:rPr>
                        <w:rFonts w:ascii="Calibri" w:hAnsi="Calibri"/>
                        <w:color w:val="000000"/>
                        <w:sz w:val="20"/>
                      </w:rPr>
                      <w:t>Official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5534925" wp14:editId="4729F751">
              <wp:simplePos x="0" y="0"/>
              <wp:positionH relativeFrom="column">
                <wp:posOffset>-914400</wp:posOffset>
              </wp:positionH>
              <wp:positionV relativeFrom="paragraph">
                <wp:posOffset>-259080</wp:posOffset>
              </wp:positionV>
              <wp:extent cx="7556500" cy="273447"/>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7556500" cy="273447"/>
                      </a:xfrm>
                      <a:prstGeom prst="rect">
                        <a:avLst/>
                      </a:prstGeom>
                      <a:noFill/>
                      <a:ln w="6350">
                        <a:solidFill>
                          <a:prstClr val="black"/>
                        </a:solidFill>
                      </a:ln>
                    </wps:spPr>
                    <wps:txbx>
                      <w:txbxContent>
                        <w:p w14:paraId="303D924A" w14:textId="77777777" w:rsidR="00B313E0" w:rsidRDefault="00B31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4B63F8" id="Text Box 1" o:spid="_x0000_s1027" type="#_x0000_t202" style="position:absolute;margin-left:-1in;margin-top:-20.4pt;width:595pt;height:2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" filled="f" strokeweight=".5pt">
              <v:textbox>
                <w:txbxContent>
                  <w:p w:rsidR="00B313E0" w:rsidRDefault="00B313E0"/>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9CCD" w14:textId="77777777" w:rsidR="003D529D" w:rsidRDefault="003D5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C84"/>
    <w:multiLevelType w:val="hybridMultilevel"/>
    <w:tmpl w:val="65FE51B6"/>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A027539"/>
    <w:multiLevelType w:val="hybridMultilevel"/>
    <w:tmpl w:val="AEB6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C65AD"/>
    <w:multiLevelType w:val="hybridMultilevel"/>
    <w:tmpl w:val="BE60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979"/>
    <w:multiLevelType w:val="hybridMultilevel"/>
    <w:tmpl w:val="0AE8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63745"/>
    <w:multiLevelType w:val="hybridMultilevel"/>
    <w:tmpl w:val="2BC0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95BE3"/>
    <w:multiLevelType w:val="hybridMultilevel"/>
    <w:tmpl w:val="F2F8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74"/>
    <w:rsid w:val="000020AA"/>
    <w:rsid w:val="0001428E"/>
    <w:rsid w:val="00037F2B"/>
    <w:rsid w:val="00071169"/>
    <w:rsid w:val="00097418"/>
    <w:rsid w:val="00111A81"/>
    <w:rsid w:val="00137BED"/>
    <w:rsid w:val="00194C84"/>
    <w:rsid w:val="002B39BC"/>
    <w:rsid w:val="002D02E8"/>
    <w:rsid w:val="002E621E"/>
    <w:rsid w:val="002F1652"/>
    <w:rsid w:val="00324E73"/>
    <w:rsid w:val="00396AE1"/>
    <w:rsid w:val="003D529D"/>
    <w:rsid w:val="003F4905"/>
    <w:rsid w:val="00472D5D"/>
    <w:rsid w:val="00473E1E"/>
    <w:rsid w:val="00670552"/>
    <w:rsid w:val="006A0A2B"/>
    <w:rsid w:val="006F44AD"/>
    <w:rsid w:val="00825398"/>
    <w:rsid w:val="008305C0"/>
    <w:rsid w:val="00835138"/>
    <w:rsid w:val="009541B7"/>
    <w:rsid w:val="0095512A"/>
    <w:rsid w:val="00A957FD"/>
    <w:rsid w:val="00AA3593"/>
    <w:rsid w:val="00AA6C81"/>
    <w:rsid w:val="00B313E0"/>
    <w:rsid w:val="00BE2FE6"/>
    <w:rsid w:val="00BF6A6C"/>
    <w:rsid w:val="00C40B96"/>
    <w:rsid w:val="00C47B40"/>
    <w:rsid w:val="00C60D81"/>
    <w:rsid w:val="00C772DA"/>
    <w:rsid w:val="00CB5A74"/>
    <w:rsid w:val="00E06E57"/>
    <w:rsid w:val="00E753AB"/>
    <w:rsid w:val="00E83A58"/>
    <w:rsid w:val="00E9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33344B"/>
  <w15:docId w15:val="{CBE3F22A-B180-42B3-B4F7-BDE33FBC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398"/>
    <w:pPr>
      <w:ind w:left="720"/>
      <w:contextualSpacing/>
    </w:pPr>
  </w:style>
  <w:style w:type="paragraph" w:styleId="Header">
    <w:name w:val="header"/>
    <w:basedOn w:val="Normal"/>
    <w:link w:val="HeaderChar"/>
    <w:uiPriority w:val="99"/>
    <w:unhideWhenUsed/>
    <w:rsid w:val="00194C84"/>
    <w:pPr>
      <w:tabs>
        <w:tab w:val="center" w:pos="4513"/>
        <w:tab w:val="right" w:pos="9026"/>
      </w:tabs>
    </w:pPr>
  </w:style>
  <w:style w:type="character" w:customStyle="1" w:styleId="HeaderChar">
    <w:name w:val="Header Char"/>
    <w:basedOn w:val="DefaultParagraphFont"/>
    <w:link w:val="Header"/>
    <w:uiPriority w:val="99"/>
    <w:rsid w:val="00194C84"/>
  </w:style>
  <w:style w:type="paragraph" w:styleId="Footer">
    <w:name w:val="footer"/>
    <w:basedOn w:val="Normal"/>
    <w:link w:val="FooterChar"/>
    <w:uiPriority w:val="99"/>
    <w:unhideWhenUsed/>
    <w:rsid w:val="00194C84"/>
    <w:pPr>
      <w:tabs>
        <w:tab w:val="center" w:pos="4513"/>
        <w:tab w:val="right" w:pos="9026"/>
      </w:tabs>
    </w:pPr>
  </w:style>
  <w:style w:type="character" w:customStyle="1" w:styleId="FooterChar">
    <w:name w:val="Footer Char"/>
    <w:basedOn w:val="DefaultParagraphFont"/>
    <w:link w:val="Footer"/>
    <w:uiPriority w:val="99"/>
    <w:rsid w:val="00194C84"/>
  </w:style>
  <w:style w:type="character" w:styleId="CommentReference">
    <w:name w:val="annotation reference"/>
    <w:basedOn w:val="DefaultParagraphFont"/>
    <w:uiPriority w:val="99"/>
    <w:semiHidden/>
    <w:unhideWhenUsed/>
    <w:rsid w:val="00AA3593"/>
    <w:rPr>
      <w:sz w:val="16"/>
      <w:szCs w:val="16"/>
    </w:rPr>
  </w:style>
  <w:style w:type="paragraph" w:styleId="CommentText">
    <w:name w:val="annotation text"/>
    <w:basedOn w:val="Normal"/>
    <w:link w:val="CommentTextChar"/>
    <w:uiPriority w:val="99"/>
    <w:semiHidden/>
    <w:unhideWhenUsed/>
    <w:rsid w:val="00AA3593"/>
    <w:rPr>
      <w:sz w:val="20"/>
      <w:szCs w:val="20"/>
    </w:rPr>
  </w:style>
  <w:style w:type="character" w:customStyle="1" w:styleId="CommentTextChar">
    <w:name w:val="Comment Text Char"/>
    <w:basedOn w:val="DefaultParagraphFont"/>
    <w:link w:val="CommentText"/>
    <w:uiPriority w:val="99"/>
    <w:semiHidden/>
    <w:rsid w:val="00AA3593"/>
    <w:rPr>
      <w:sz w:val="20"/>
      <w:szCs w:val="20"/>
    </w:rPr>
  </w:style>
  <w:style w:type="paragraph" w:styleId="CommentSubject">
    <w:name w:val="annotation subject"/>
    <w:basedOn w:val="CommentText"/>
    <w:next w:val="CommentText"/>
    <w:link w:val="CommentSubjectChar"/>
    <w:uiPriority w:val="99"/>
    <w:semiHidden/>
    <w:unhideWhenUsed/>
    <w:rsid w:val="00AA3593"/>
    <w:rPr>
      <w:b/>
      <w:bCs/>
    </w:rPr>
  </w:style>
  <w:style w:type="character" w:customStyle="1" w:styleId="CommentSubjectChar">
    <w:name w:val="Comment Subject Char"/>
    <w:basedOn w:val="CommentTextChar"/>
    <w:link w:val="CommentSubject"/>
    <w:uiPriority w:val="99"/>
    <w:semiHidden/>
    <w:rsid w:val="00AA3593"/>
    <w:rPr>
      <w:b/>
      <w:bCs/>
      <w:sz w:val="20"/>
      <w:szCs w:val="20"/>
    </w:rPr>
  </w:style>
  <w:style w:type="paragraph" w:styleId="BalloonText">
    <w:name w:val="Balloon Text"/>
    <w:basedOn w:val="Normal"/>
    <w:link w:val="BalloonTextChar"/>
    <w:uiPriority w:val="99"/>
    <w:semiHidden/>
    <w:unhideWhenUsed/>
    <w:rsid w:val="00AA3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593"/>
    <w:rPr>
      <w:rFonts w:ascii="Segoe UI" w:hAnsi="Segoe UI" w:cs="Segoe UI"/>
      <w:sz w:val="18"/>
      <w:szCs w:val="18"/>
    </w:rPr>
  </w:style>
  <w:style w:type="character" w:styleId="Strong">
    <w:name w:val="Strong"/>
    <w:basedOn w:val="DefaultParagraphFont"/>
    <w:uiPriority w:val="22"/>
    <w:qFormat/>
    <w:rsid w:val="000020AA"/>
    <w:rPr>
      <w:b/>
      <w:bCs/>
    </w:rPr>
  </w:style>
  <w:style w:type="paragraph" w:styleId="NormalWeb">
    <w:name w:val="Normal (Web)"/>
    <w:basedOn w:val="Normal"/>
    <w:uiPriority w:val="99"/>
    <w:semiHidden/>
    <w:unhideWhenUsed/>
    <w:rsid w:val="000020AA"/>
    <w:pPr>
      <w:spacing w:after="420"/>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0020AA"/>
    <w:rPr>
      <w:strike w:val="0"/>
      <w:dstrike w:val="0"/>
      <w:color w:val="007ACC"/>
      <w:u w:val="none"/>
      <w:effect w:val="none"/>
      <w:shd w:val="clear" w:color="auto" w:fill="auto"/>
    </w:rPr>
  </w:style>
  <w:style w:type="paragraph" w:styleId="Revision">
    <w:name w:val="Revision"/>
    <w:hidden/>
    <w:uiPriority w:val="99"/>
    <w:semiHidden/>
    <w:rsid w:val="000020AA"/>
  </w:style>
  <w:style w:type="character" w:customStyle="1" w:styleId="UnresolvedMention1">
    <w:name w:val="Unresolved Mention1"/>
    <w:basedOn w:val="DefaultParagraphFont"/>
    <w:uiPriority w:val="99"/>
    <w:semiHidden/>
    <w:unhideWhenUsed/>
    <w:rsid w:val="000020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881430">
      <w:bodyDiv w:val="1"/>
      <w:marLeft w:val="0"/>
      <w:marRight w:val="0"/>
      <w:marTop w:val="0"/>
      <w:marBottom w:val="0"/>
      <w:divBdr>
        <w:top w:val="none" w:sz="0" w:space="0" w:color="auto"/>
        <w:left w:val="none" w:sz="0" w:space="0" w:color="auto"/>
        <w:bottom w:val="none" w:sz="0" w:space="0" w:color="auto"/>
        <w:right w:val="none" w:sz="0" w:space="0" w:color="auto"/>
      </w:divBdr>
      <w:divsChild>
        <w:div w:id="506363618">
          <w:marLeft w:val="0"/>
          <w:marRight w:val="0"/>
          <w:marTop w:val="0"/>
          <w:marBottom w:val="0"/>
          <w:divBdr>
            <w:top w:val="none" w:sz="0" w:space="0" w:color="auto"/>
            <w:left w:val="none" w:sz="0" w:space="0" w:color="auto"/>
            <w:bottom w:val="none" w:sz="0" w:space="0" w:color="auto"/>
            <w:right w:val="none" w:sz="0" w:space="0" w:color="auto"/>
          </w:divBdr>
          <w:divsChild>
            <w:div w:id="2119520059">
              <w:marLeft w:val="0"/>
              <w:marRight w:val="0"/>
              <w:marTop w:val="0"/>
              <w:marBottom w:val="0"/>
              <w:divBdr>
                <w:top w:val="none" w:sz="0" w:space="0" w:color="auto"/>
                <w:left w:val="none" w:sz="0" w:space="0" w:color="auto"/>
                <w:bottom w:val="none" w:sz="0" w:space="0" w:color="auto"/>
                <w:right w:val="none" w:sz="0" w:space="0" w:color="auto"/>
              </w:divBdr>
              <w:divsChild>
                <w:div w:id="1147628775">
                  <w:marLeft w:val="0"/>
                  <w:marRight w:val="0"/>
                  <w:marTop w:val="0"/>
                  <w:marBottom w:val="0"/>
                  <w:divBdr>
                    <w:top w:val="none" w:sz="0" w:space="0" w:color="auto"/>
                    <w:left w:val="none" w:sz="0" w:space="0" w:color="auto"/>
                    <w:bottom w:val="none" w:sz="0" w:space="0" w:color="auto"/>
                    <w:right w:val="none" w:sz="0" w:space="0" w:color="auto"/>
                  </w:divBdr>
                  <w:divsChild>
                    <w:div w:id="2043969443">
                      <w:marLeft w:val="0"/>
                      <w:marRight w:val="0"/>
                      <w:marTop w:val="0"/>
                      <w:marBottom w:val="0"/>
                      <w:divBdr>
                        <w:top w:val="none" w:sz="0" w:space="0" w:color="auto"/>
                        <w:left w:val="none" w:sz="0" w:space="0" w:color="auto"/>
                        <w:bottom w:val="none" w:sz="0" w:space="0" w:color="auto"/>
                        <w:right w:val="none" w:sz="0" w:space="0" w:color="auto"/>
                      </w:divBdr>
                      <w:divsChild>
                        <w:div w:id="1961640701">
                          <w:marLeft w:val="4"/>
                          <w:marRight w:val="4"/>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536653848">
      <w:bodyDiv w:val="1"/>
      <w:marLeft w:val="0"/>
      <w:marRight w:val="0"/>
      <w:marTop w:val="0"/>
      <w:marBottom w:val="0"/>
      <w:divBdr>
        <w:top w:val="none" w:sz="0" w:space="0" w:color="auto"/>
        <w:left w:val="none" w:sz="0" w:space="0" w:color="auto"/>
        <w:bottom w:val="none" w:sz="0" w:space="0" w:color="auto"/>
        <w:right w:val="none" w:sz="0" w:space="0" w:color="auto"/>
      </w:divBdr>
      <w:divsChild>
        <w:div w:id="1705980440">
          <w:marLeft w:val="0"/>
          <w:marRight w:val="0"/>
          <w:marTop w:val="0"/>
          <w:marBottom w:val="0"/>
          <w:divBdr>
            <w:top w:val="none" w:sz="0" w:space="0" w:color="auto"/>
            <w:left w:val="none" w:sz="0" w:space="0" w:color="auto"/>
            <w:bottom w:val="none" w:sz="0" w:space="0" w:color="auto"/>
            <w:right w:val="none" w:sz="0" w:space="0" w:color="auto"/>
          </w:divBdr>
          <w:divsChild>
            <w:div w:id="1656757189">
              <w:marLeft w:val="0"/>
              <w:marRight w:val="0"/>
              <w:marTop w:val="0"/>
              <w:marBottom w:val="0"/>
              <w:divBdr>
                <w:top w:val="none" w:sz="0" w:space="0" w:color="auto"/>
                <w:left w:val="none" w:sz="0" w:space="0" w:color="auto"/>
                <w:bottom w:val="none" w:sz="0" w:space="0" w:color="auto"/>
                <w:right w:val="none" w:sz="0" w:space="0" w:color="auto"/>
              </w:divBdr>
              <w:divsChild>
                <w:div w:id="1479104854">
                  <w:marLeft w:val="0"/>
                  <w:marRight w:val="0"/>
                  <w:marTop w:val="0"/>
                  <w:marBottom w:val="0"/>
                  <w:divBdr>
                    <w:top w:val="none" w:sz="0" w:space="0" w:color="auto"/>
                    <w:left w:val="none" w:sz="0" w:space="0" w:color="auto"/>
                    <w:bottom w:val="none" w:sz="0" w:space="0" w:color="auto"/>
                    <w:right w:val="none" w:sz="0" w:space="0" w:color="auto"/>
                  </w:divBdr>
                  <w:divsChild>
                    <w:div w:id="654988630">
                      <w:marLeft w:val="0"/>
                      <w:marRight w:val="0"/>
                      <w:marTop w:val="0"/>
                      <w:marBottom w:val="0"/>
                      <w:divBdr>
                        <w:top w:val="none" w:sz="0" w:space="0" w:color="auto"/>
                        <w:left w:val="none" w:sz="0" w:space="0" w:color="auto"/>
                        <w:bottom w:val="none" w:sz="0" w:space="0" w:color="auto"/>
                        <w:right w:val="none" w:sz="0" w:space="0" w:color="auto"/>
                      </w:divBdr>
                      <w:divsChild>
                        <w:div w:id="446895336">
                          <w:marLeft w:val="4"/>
                          <w:marRight w:val="4"/>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rategy" ma:contentTypeID="0x01010014C344ED38E2BE4B932AA20A01A28BE800F16CCF3F52B18D438D92CD903D9F57E3" ma:contentTypeVersion="15" ma:contentTypeDescription="SSA strategy document" ma:contentTypeScope="" ma:versionID="d11880970f3295f3ce1db26dbaef9604">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eb4bcace2be39f7e81a7f59453864419"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enumeration value="Corporate Policy"/>
          <xsd:enumeration value="Communications"/>
          <xsd:enumeration value="Finance"/>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piry_x0020_Date xmlns="dc28bfda-9651-4a20-8b38-9759874fba99">2100-01-01T00:00:00+00:00</Expiry_x0020_Date>
    <TaxKeywordTaxHTField xmlns="0a7cf56b-9811-4b9b-bca6-9ac20d8a16f2">
      <Terms xmlns="http://schemas.microsoft.com/office/infopath/2007/PartnerControls">
        <TermInfo xmlns="http://schemas.microsoft.com/office/infopath/2007/PartnerControls">
          <TermName xmlns="http://schemas.microsoft.com/office/infopath/2007/PartnerControls">Equality-Impact-Needs-Assessments</TermName>
          <TermId xmlns="http://schemas.microsoft.com/office/infopath/2007/PartnerControls">fdcb6084-d73b-4659-99fa-054b4f1331b3</TermId>
        </TermInfo>
      </Terms>
    </TaxKeywordTaxHTField>
    <Published_x0020_Date xmlns="dc28bfda-9651-4a20-8b38-9759874fba99">2016-10-09T23:00:00+00:00</Published_x0020_Date>
    <TaxCatchAll xmlns="0a7cf56b-9811-4b9b-bca6-9ac20d8a16f2">
      <Value>72</Value>
    </TaxCatchAll>
    <Service1 xmlns="0a7cf56b-9811-4b9b-bca6-9ac20d8a16f2">Corporate Policy</Service1>
    <Owner xmlns="dc28bfda-9651-4a20-8b38-9759874fba99">
      <UserInfo>
        <DisplayName>Web Team</DisplayName>
        <AccountId>3020</AccountId>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B3024-FC52-4416-A1D7-1F59CC3E0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3225A-B4E9-4EA0-85F9-D96DF9BF67C1}">
  <ds:schemaRefs>
    <ds:schemaRef ds:uri="http://schemas.microsoft.com/office/2006/documentManagement/types"/>
    <ds:schemaRef ds:uri="http://purl.org/dc/elements/1.1/"/>
    <ds:schemaRef ds:uri="dc28bfda-9651-4a20-8b38-9759874fba99"/>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0a7cf56b-9811-4b9b-bca6-9ac20d8a16f2"/>
  </ds:schemaRefs>
</ds:datastoreItem>
</file>

<file path=customXml/itemProps3.xml><?xml version="1.0" encoding="utf-8"?>
<ds:datastoreItem xmlns:ds="http://schemas.openxmlformats.org/officeDocument/2006/customXml" ds:itemID="{A3281226-9A1E-4B96-9F97-4A3F2F2DC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SSA EINA</vt:lpstr>
    </vt:vector>
  </TitlesOfParts>
  <Company>Wandsworth Borough Council</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EINA</dc:title>
  <dc:creator>O'CONNOR, Steve</dc:creator>
  <cp:keywords>Equality-Impact-Needs-Assessments</cp:keywords>
  <cp:lastModifiedBy>Pierce, Catherine</cp:lastModifiedBy>
  <cp:revision>2</cp:revision>
  <dcterms:created xsi:type="dcterms:W3CDTF">2018-10-23T16:20:00Z</dcterms:created>
  <dcterms:modified xsi:type="dcterms:W3CDTF">2018-10-23T16:20:00Z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0x01010014C344ED38E2BE4B932AA20A01A28BE800F16CCF3F52B18D438D92CD903D9F57E3</vt:lpwstr>
  </property>
  <property fmtid="{D5CDD505-2E9C-101B-9397-08002B2CF9AE}" pid="3" name="TaxKeyword">
    <vt:lpwstr>72;#Equality-Impact-Needs-Assessments|fdcb6084-d73b-4659-99fa-054b4f1331b3</vt:lpwstr>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Ref">
    <vt:lpwstr>https://api.informationprotection.azure.com/api/d9d3f5ac-f803-49be-949f-14a7074d74a7</vt:lpwstr>
  </property>
  <property fmtid="{D5CDD505-2E9C-101B-9397-08002B2CF9AE}" pid="7" name="MSIP_Label_763da656-5c75-4f6d-9461-4a3ce9a537cc_SetBy">
    <vt:lpwstr>Aveen.Kelly@richmondandwandsworth.gov.uk</vt:lpwstr>
  </property>
  <property fmtid="{D5CDD505-2E9C-101B-9397-08002B2CF9AE}" pid="8" name="MSIP_Label_763da656-5c75-4f6d-9461-4a3ce9a537cc_SetDate">
    <vt:lpwstr>2018-08-30T10:57:55.9467392+01:00</vt:lpwstr>
  </property>
  <property fmtid="{D5CDD505-2E9C-101B-9397-08002B2CF9AE}" pid="9" name="MSIP_Label_763da656-5c75-4f6d-9461-4a3ce9a537cc_Name">
    <vt:lpwstr>Official</vt:lpwstr>
  </property>
  <property fmtid="{D5CDD505-2E9C-101B-9397-08002B2CF9AE}" pid="10" name="MSIP_Label_763da656-5c75-4f6d-9461-4a3ce9a537cc_Application">
    <vt:lpwstr>Microsoft Azure Information Protection</vt:lpwstr>
  </property>
  <property fmtid="{D5CDD505-2E9C-101B-9397-08002B2CF9AE}" pid="11" name="MSIP_Label_763da656-5c75-4f6d-9461-4a3ce9a537cc_Extended_MSFT_Method">
    <vt:lpwstr>Automatic</vt:lpwstr>
  </property>
  <property fmtid="{D5CDD505-2E9C-101B-9397-08002B2CF9AE}" pid="12" name="Sensitivity">
    <vt:lpwstr>Official</vt:lpwstr>
  </property>
</Properties>
</file>