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2001" w14:textId="4C8867FF" w:rsidR="0038697C" w:rsidRDefault="00097418" w:rsidP="00097418">
      <w:pPr>
        <w:jc w:val="center"/>
        <w:rPr>
          <w:b/>
          <w:sz w:val="40"/>
          <w:szCs w:val="40"/>
          <w:lang w:val="en-GB"/>
        </w:rPr>
      </w:pPr>
      <w:r w:rsidRPr="00097418">
        <w:rPr>
          <w:b/>
          <w:sz w:val="40"/>
          <w:szCs w:val="40"/>
          <w:lang w:val="en-GB"/>
        </w:rPr>
        <w:t>SSA EQUALITY IMPACT AND NEEDS ANALYSIS</w:t>
      </w:r>
    </w:p>
    <w:p w14:paraId="280A8392" w14:textId="77777777" w:rsidR="00097418" w:rsidRPr="00B206E6" w:rsidRDefault="00097418" w:rsidP="00097418">
      <w:pPr>
        <w:jc w:val="center"/>
        <w:rPr>
          <w:b/>
          <w:sz w:val="22"/>
          <w:szCs w:val="22"/>
          <w:lang w:val="en-GB"/>
        </w:rPr>
      </w:pPr>
    </w:p>
    <w:tbl>
      <w:tblPr>
        <w:tblStyle w:val="TableGrid"/>
        <w:tblW w:w="10774" w:type="dxa"/>
        <w:tblInd w:w="-998" w:type="dxa"/>
        <w:tblLook w:val="04A0" w:firstRow="1" w:lastRow="0" w:firstColumn="1" w:lastColumn="0" w:noHBand="0" w:noVBand="1"/>
      </w:tblPr>
      <w:tblGrid>
        <w:gridCol w:w="5503"/>
        <w:gridCol w:w="5271"/>
      </w:tblGrid>
      <w:tr w:rsidR="00097418" w14:paraId="644F47FD" w14:textId="77777777" w:rsidTr="00147F6B">
        <w:tc>
          <w:tcPr>
            <w:tcW w:w="5503" w:type="dxa"/>
          </w:tcPr>
          <w:p w14:paraId="70AC0F26" w14:textId="69554AA3" w:rsidR="00097418" w:rsidRDefault="00097418" w:rsidP="00097418">
            <w:pPr>
              <w:rPr>
                <w:b/>
                <w:lang w:val="en-GB"/>
              </w:rPr>
            </w:pPr>
            <w:r>
              <w:rPr>
                <w:b/>
                <w:lang w:val="en-GB"/>
              </w:rPr>
              <w:t>Directorate</w:t>
            </w:r>
          </w:p>
        </w:tc>
        <w:tc>
          <w:tcPr>
            <w:tcW w:w="5271" w:type="dxa"/>
          </w:tcPr>
          <w:p w14:paraId="13CE16D9" w14:textId="50A8B67A" w:rsidR="00097418" w:rsidRDefault="00F6083A" w:rsidP="00097418">
            <w:pPr>
              <w:jc w:val="center"/>
              <w:rPr>
                <w:b/>
                <w:lang w:val="en-GB"/>
              </w:rPr>
            </w:pPr>
            <w:r>
              <w:rPr>
                <w:b/>
                <w:lang w:val="en-GB"/>
              </w:rPr>
              <w:t>Environment and Community Services</w:t>
            </w:r>
          </w:p>
        </w:tc>
      </w:tr>
      <w:tr w:rsidR="00097418" w14:paraId="2F9DF2FF" w14:textId="77777777" w:rsidTr="00147F6B">
        <w:tc>
          <w:tcPr>
            <w:tcW w:w="5503" w:type="dxa"/>
          </w:tcPr>
          <w:p w14:paraId="5089A7D9" w14:textId="081D44C8" w:rsidR="00097418" w:rsidRDefault="00097418" w:rsidP="00097418">
            <w:pPr>
              <w:rPr>
                <w:b/>
                <w:lang w:val="en-GB"/>
              </w:rPr>
            </w:pPr>
            <w:r>
              <w:rPr>
                <w:b/>
                <w:lang w:val="en-GB"/>
              </w:rPr>
              <w:t>Service Area</w:t>
            </w:r>
          </w:p>
        </w:tc>
        <w:tc>
          <w:tcPr>
            <w:tcW w:w="5271" w:type="dxa"/>
          </w:tcPr>
          <w:p w14:paraId="4BF92219" w14:textId="67DD482C" w:rsidR="00097418" w:rsidRDefault="00BF4EA8" w:rsidP="00097418">
            <w:pPr>
              <w:jc w:val="center"/>
              <w:rPr>
                <w:b/>
                <w:lang w:val="en-GB"/>
              </w:rPr>
            </w:pPr>
            <w:r>
              <w:rPr>
                <w:b/>
                <w:lang w:val="en-GB"/>
              </w:rPr>
              <w:t>Parks</w:t>
            </w:r>
          </w:p>
        </w:tc>
      </w:tr>
      <w:tr w:rsidR="00097418" w14:paraId="75DBAA69" w14:textId="77777777" w:rsidTr="00147F6B">
        <w:tc>
          <w:tcPr>
            <w:tcW w:w="5503" w:type="dxa"/>
          </w:tcPr>
          <w:p w14:paraId="597FF947" w14:textId="65E45FE8" w:rsidR="00097418" w:rsidRDefault="00097418" w:rsidP="00097418">
            <w:pPr>
              <w:rPr>
                <w:b/>
                <w:lang w:val="en-GB"/>
              </w:rPr>
            </w:pPr>
            <w:r>
              <w:rPr>
                <w:b/>
                <w:lang w:val="en-GB"/>
              </w:rPr>
              <w:t>Service/policy/function being assessed</w:t>
            </w:r>
          </w:p>
        </w:tc>
        <w:tc>
          <w:tcPr>
            <w:tcW w:w="5271" w:type="dxa"/>
          </w:tcPr>
          <w:p w14:paraId="1D8AEE10" w14:textId="5A1FDBD6" w:rsidR="00097418" w:rsidRDefault="00BF4EA8" w:rsidP="00097418">
            <w:pPr>
              <w:jc w:val="center"/>
              <w:rPr>
                <w:b/>
                <w:lang w:val="en-GB"/>
              </w:rPr>
            </w:pPr>
            <w:r>
              <w:rPr>
                <w:b/>
                <w:lang w:val="en-GB"/>
              </w:rPr>
              <w:t>Public Space Protection Orders</w:t>
            </w:r>
          </w:p>
        </w:tc>
      </w:tr>
      <w:tr w:rsidR="00825398" w14:paraId="715AC1B2" w14:textId="77777777" w:rsidTr="00147F6B">
        <w:tc>
          <w:tcPr>
            <w:tcW w:w="5503" w:type="dxa"/>
          </w:tcPr>
          <w:p w14:paraId="052BEE46" w14:textId="41C5BE2E" w:rsidR="00825398" w:rsidRDefault="00825398" w:rsidP="00097418">
            <w:pPr>
              <w:rPr>
                <w:b/>
                <w:lang w:val="en-GB"/>
              </w:rPr>
            </w:pPr>
            <w:r>
              <w:rPr>
                <w:b/>
                <w:lang w:val="en-GB"/>
              </w:rPr>
              <w:t>Which borough (s) does the service/policy apply to</w:t>
            </w:r>
          </w:p>
        </w:tc>
        <w:tc>
          <w:tcPr>
            <w:tcW w:w="5271" w:type="dxa"/>
          </w:tcPr>
          <w:p w14:paraId="4498B51E" w14:textId="77777777" w:rsidR="002D4D2E" w:rsidRPr="00825398" w:rsidRDefault="002D4D2E" w:rsidP="002D4D2E">
            <w:pPr>
              <w:rPr>
                <w:lang w:val="en-GB"/>
              </w:rPr>
            </w:pPr>
            <w:r w:rsidRPr="00825398">
              <w:rPr>
                <w:lang w:val="en-GB"/>
              </w:rPr>
              <w:t>Richmond</w:t>
            </w:r>
          </w:p>
          <w:p w14:paraId="016095AD" w14:textId="41629290" w:rsidR="00825398" w:rsidRPr="002D4D2E" w:rsidRDefault="00825398" w:rsidP="00825398">
            <w:pPr>
              <w:rPr>
                <w:b/>
                <w:i/>
                <w:iCs/>
                <w:lang w:val="en-GB"/>
              </w:rPr>
            </w:pPr>
          </w:p>
        </w:tc>
      </w:tr>
      <w:tr w:rsidR="00097418" w14:paraId="67504172" w14:textId="77777777" w:rsidTr="00147F6B">
        <w:trPr>
          <w:trHeight w:val="338"/>
        </w:trPr>
        <w:tc>
          <w:tcPr>
            <w:tcW w:w="5503" w:type="dxa"/>
          </w:tcPr>
          <w:p w14:paraId="07256CBE" w14:textId="11DACBD6" w:rsidR="00097418" w:rsidRDefault="00097418" w:rsidP="00097418">
            <w:pPr>
              <w:rPr>
                <w:b/>
                <w:lang w:val="en-GB"/>
              </w:rPr>
            </w:pPr>
            <w:r>
              <w:rPr>
                <w:b/>
                <w:lang w:val="en-GB"/>
              </w:rPr>
              <w:t>Staff involved</w:t>
            </w:r>
            <w:r w:rsidR="0046151E">
              <w:rPr>
                <w:b/>
                <w:lang w:val="en-GB"/>
              </w:rPr>
              <w:t xml:space="preserve"> in developing this EINA</w:t>
            </w:r>
          </w:p>
        </w:tc>
        <w:tc>
          <w:tcPr>
            <w:tcW w:w="5271" w:type="dxa"/>
          </w:tcPr>
          <w:p w14:paraId="41C96C65" w14:textId="69C5AC87" w:rsidR="00097418" w:rsidRDefault="00BF4EA8" w:rsidP="00097418">
            <w:pPr>
              <w:jc w:val="center"/>
              <w:rPr>
                <w:b/>
                <w:lang w:val="en-GB"/>
              </w:rPr>
            </w:pPr>
            <w:r>
              <w:rPr>
                <w:b/>
                <w:lang w:val="en-GB"/>
              </w:rPr>
              <w:t>Sasha O’Neill, Yvonne Kelle</w:t>
            </w:r>
            <w:r w:rsidR="001A3998">
              <w:rPr>
                <w:b/>
                <w:lang w:val="en-GB"/>
              </w:rPr>
              <w:t>her</w:t>
            </w:r>
          </w:p>
        </w:tc>
      </w:tr>
      <w:tr w:rsidR="00097418" w14:paraId="0779DE64" w14:textId="77777777" w:rsidTr="00147F6B">
        <w:trPr>
          <w:trHeight w:val="632"/>
        </w:trPr>
        <w:tc>
          <w:tcPr>
            <w:tcW w:w="5503" w:type="dxa"/>
          </w:tcPr>
          <w:p w14:paraId="0CEB9BB1" w14:textId="159B526E" w:rsidR="00097418" w:rsidRDefault="00BF6A6C" w:rsidP="00097418">
            <w:pPr>
              <w:rPr>
                <w:b/>
                <w:lang w:val="en-GB"/>
              </w:rPr>
            </w:pPr>
            <w:r>
              <w:rPr>
                <w:b/>
                <w:lang w:val="en-GB"/>
              </w:rPr>
              <w:t>Date approved</w:t>
            </w:r>
            <w:r w:rsidR="00097418">
              <w:rPr>
                <w:b/>
                <w:lang w:val="en-GB"/>
              </w:rPr>
              <w:t xml:space="preserve"> by Directorate Equality Group (if applicable)</w:t>
            </w:r>
          </w:p>
        </w:tc>
        <w:tc>
          <w:tcPr>
            <w:tcW w:w="5271" w:type="dxa"/>
          </w:tcPr>
          <w:p w14:paraId="45C090A5" w14:textId="77777777" w:rsidR="00097418" w:rsidRDefault="00097418" w:rsidP="00097418">
            <w:pPr>
              <w:jc w:val="center"/>
              <w:rPr>
                <w:b/>
                <w:lang w:val="en-GB"/>
              </w:rPr>
            </w:pPr>
          </w:p>
        </w:tc>
      </w:tr>
      <w:tr w:rsidR="00097418" w14:paraId="69180FD9" w14:textId="77777777" w:rsidTr="00147F6B">
        <w:trPr>
          <w:trHeight w:val="618"/>
        </w:trPr>
        <w:tc>
          <w:tcPr>
            <w:tcW w:w="5503" w:type="dxa"/>
          </w:tcPr>
          <w:p w14:paraId="23793D3C" w14:textId="77777777" w:rsidR="00097418" w:rsidRDefault="00097418" w:rsidP="00097418">
            <w:pPr>
              <w:rPr>
                <w:b/>
                <w:lang w:val="en-GB"/>
              </w:rPr>
            </w:pPr>
            <w:r>
              <w:rPr>
                <w:b/>
                <w:lang w:val="en-GB"/>
              </w:rPr>
              <w:t>Date approved by Policy and Review Manager</w:t>
            </w:r>
          </w:p>
          <w:p w14:paraId="5127876D" w14:textId="4417DA2C" w:rsidR="00472D5D" w:rsidRDefault="00472D5D" w:rsidP="00097418">
            <w:pPr>
              <w:rPr>
                <w:b/>
                <w:lang w:val="en-GB"/>
              </w:rPr>
            </w:pPr>
            <w:r w:rsidRPr="00BF6A6C">
              <w:rPr>
                <w:lang w:val="en-GB"/>
              </w:rPr>
              <w:t>All EINAs must be signed off by the Policy and Review Manager</w:t>
            </w:r>
          </w:p>
        </w:tc>
        <w:tc>
          <w:tcPr>
            <w:tcW w:w="5271" w:type="dxa"/>
          </w:tcPr>
          <w:p w14:paraId="74833869" w14:textId="21E9DABD" w:rsidR="00097418" w:rsidRPr="00BF6A6C" w:rsidRDefault="00097418" w:rsidP="00BF6A6C">
            <w:pPr>
              <w:rPr>
                <w:lang w:val="en-GB"/>
              </w:rPr>
            </w:pPr>
          </w:p>
        </w:tc>
      </w:tr>
      <w:tr w:rsidR="00097418" w14:paraId="6D7B8E93" w14:textId="77777777" w:rsidTr="00147F6B">
        <w:trPr>
          <w:trHeight w:val="241"/>
        </w:trPr>
        <w:tc>
          <w:tcPr>
            <w:tcW w:w="5503" w:type="dxa"/>
          </w:tcPr>
          <w:p w14:paraId="2266906C" w14:textId="68C57856" w:rsidR="00097418" w:rsidRDefault="00097418" w:rsidP="00097418">
            <w:pPr>
              <w:rPr>
                <w:b/>
                <w:lang w:val="en-GB"/>
              </w:rPr>
            </w:pPr>
            <w:r>
              <w:rPr>
                <w:b/>
                <w:lang w:val="en-GB"/>
              </w:rPr>
              <w:t>Date submitted to Directors’ Board</w:t>
            </w:r>
          </w:p>
        </w:tc>
        <w:tc>
          <w:tcPr>
            <w:tcW w:w="5271" w:type="dxa"/>
          </w:tcPr>
          <w:p w14:paraId="53BF5061" w14:textId="77777777" w:rsidR="00097418" w:rsidRDefault="00097418" w:rsidP="00BF6A6C">
            <w:pPr>
              <w:rPr>
                <w:b/>
                <w:lang w:val="en-GB"/>
              </w:rPr>
            </w:pPr>
          </w:p>
        </w:tc>
      </w:tr>
    </w:tbl>
    <w:p w14:paraId="6DDC56AF" w14:textId="77777777" w:rsidR="00097418" w:rsidRDefault="00097418" w:rsidP="00097418">
      <w:pPr>
        <w:rPr>
          <w:b/>
          <w:lang w:val="en-GB"/>
        </w:rPr>
      </w:pPr>
    </w:p>
    <w:p w14:paraId="38F678FA" w14:textId="0A514FCA" w:rsidR="00097418" w:rsidRPr="00F95F19" w:rsidRDefault="00097418" w:rsidP="00E7312C">
      <w:pPr>
        <w:pStyle w:val="ListParagraph"/>
        <w:numPr>
          <w:ilvl w:val="0"/>
          <w:numId w:val="7"/>
        </w:numPr>
        <w:ind w:left="0" w:hanging="284"/>
        <w:rPr>
          <w:b/>
          <w:lang w:val="en-GB"/>
        </w:rPr>
      </w:pPr>
      <w:r w:rsidRPr="00F95F19">
        <w:rPr>
          <w:b/>
          <w:lang w:val="en-GB"/>
        </w:rPr>
        <w:t>S</w:t>
      </w:r>
      <w:r w:rsidR="00E7312C">
        <w:rPr>
          <w:b/>
          <w:lang w:val="en-GB"/>
        </w:rPr>
        <w:t>ummary</w:t>
      </w:r>
    </w:p>
    <w:p w14:paraId="628BDCF8" w14:textId="77777777" w:rsidR="00097418" w:rsidRDefault="00097418" w:rsidP="00097418">
      <w:pPr>
        <w:rPr>
          <w:b/>
          <w:lang w:val="en-GB"/>
        </w:rPr>
      </w:pPr>
    </w:p>
    <w:tbl>
      <w:tblPr>
        <w:tblStyle w:val="TableGrid"/>
        <w:tblW w:w="10774" w:type="dxa"/>
        <w:tblInd w:w="-998" w:type="dxa"/>
        <w:tblLook w:val="04A0" w:firstRow="1" w:lastRow="0" w:firstColumn="1" w:lastColumn="0" w:noHBand="0" w:noVBand="1"/>
      </w:tblPr>
      <w:tblGrid>
        <w:gridCol w:w="10774"/>
      </w:tblGrid>
      <w:tr w:rsidR="00097418" w14:paraId="454BB00F" w14:textId="77777777" w:rsidTr="00147F6B">
        <w:tc>
          <w:tcPr>
            <w:tcW w:w="10774" w:type="dxa"/>
          </w:tcPr>
          <w:p w14:paraId="76DCCE09" w14:textId="77777777" w:rsidR="00143F59" w:rsidRDefault="00097418" w:rsidP="00097418">
            <w:pPr>
              <w:rPr>
                <w:b/>
                <w:lang w:val="en-GB"/>
              </w:rPr>
            </w:pPr>
            <w:r>
              <w:rPr>
                <w:b/>
                <w:lang w:val="en-GB"/>
              </w:rPr>
              <w:t xml:space="preserve">Please summarise the key findings of the EINA. </w:t>
            </w:r>
          </w:p>
          <w:p w14:paraId="2BC7A3B4" w14:textId="77777777" w:rsidR="006F44AD" w:rsidRDefault="006F44AD" w:rsidP="002C09F5">
            <w:pPr>
              <w:rPr>
                <w:b/>
                <w:lang w:val="en-GB"/>
              </w:rPr>
            </w:pPr>
          </w:p>
          <w:p w14:paraId="5DA5B93D" w14:textId="77777777" w:rsidR="00BF4E3D" w:rsidRPr="00D00099" w:rsidRDefault="00BF4E3D" w:rsidP="00BF4E3D">
            <w:pPr>
              <w:pStyle w:val="ListParagraph"/>
              <w:numPr>
                <w:ilvl w:val="0"/>
                <w:numId w:val="1"/>
              </w:numPr>
              <w:rPr>
                <w:b/>
                <w:lang w:val="en-GB"/>
              </w:rPr>
            </w:pPr>
            <w:r>
              <w:rPr>
                <w:lang w:val="en-GB"/>
              </w:rPr>
              <w:t xml:space="preserve">The Council would like to renew the 2020 Public Spaces Protection Orders (PSPO) to help the police and Council tackle anti-social behaviour on public land. These were initially put in place in 2017 and renewed in 2020. </w:t>
            </w:r>
          </w:p>
          <w:p w14:paraId="39C0413C" w14:textId="77777777" w:rsidR="00BF4E3D" w:rsidRDefault="00BF4E3D" w:rsidP="00BF4E3D">
            <w:pPr>
              <w:pStyle w:val="ListParagraph"/>
              <w:numPr>
                <w:ilvl w:val="0"/>
                <w:numId w:val="1"/>
              </w:numPr>
              <w:rPr>
                <w:lang w:val="en-GB"/>
              </w:rPr>
            </w:pPr>
            <w:r w:rsidRPr="00D00099">
              <w:rPr>
                <w:lang w:val="en-GB"/>
              </w:rPr>
              <w:t>The PSPO</w:t>
            </w:r>
            <w:r>
              <w:rPr>
                <w:lang w:val="en-GB"/>
              </w:rPr>
              <w:t>s</w:t>
            </w:r>
            <w:r w:rsidRPr="00D00099">
              <w:rPr>
                <w:lang w:val="en-GB"/>
              </w:rPr>
              <w:t xml:space="preserve"> </w:t>
            </w:r>
            <w:r>
              <w:rPr>
                <w:lang w:val="en-GB"/>
              </w:rPr>
              <w:t xml:space="preserve">effectively replaced and updated existing measures including Dog Control Orders, Designated Public Place Orders and Park </w:t>
            </w:r>
            <w:r w:rsidRPr="00F31FF1">
              <w:rPr>
                <w:lang w:val="en-GB"/>
              </w:rPr>
              <w:t xml:space="preserve">Byelaws. </w:t>
            </w:r>
            <w:r>
              <w:rPr>
                <w:lang w:val="en-GB"/>
              </w:rPr>
              <w:t xml:space="preserve">32 </w:t>
            </w:r>
            <w:r w:rsidRPr="00F31FF1">
              <w:rPr>
                <w:lang w:val="en-GB"/>
              </w:rPr>
              <w:t>provisions</w:t>
            </w:r>
            <w:r>
              <w:rPr>
                <w:lang w:val="en-GB"/>
              </w:rPr>
              <w:t xml:space="preserve"> are proposed.</w:t>
            </w:r>
          </w:p>
          <w:p w14:paraId="1F93801A" w14:textId="77777777" w:rsidR="00BF4E3D" w:rsidRDefault="00BF4E3D" w:rsidP="00BF4E3D">
            <w:pPr>
              <w:pStyle w:val="ListParagraph"/>
              <w:numPr>
                <w:ilvl w:val="0"/>
                <w:numId w:val="1"/>
              </w:numPr>
              <w:rPr>
                <w:lang w:val="en-GB"/>
              </w:rPr>
            </w:pPr>
            <w:r>
              <w:rPr>
                <w:lang w:val="en-GB"/>
              </w:rPr>
              <w:t>The pool of authorised enforcement officers includes both police and Council officers and so are better able to support each other in dealing with offences.</w:t>
            </w:r>
          </w:p>
          <w:p w14:paraId="78A62F19" w14:textId="77777777" w:rsidR="00BF4E3D" w:rsidRPr="00EF3D84" w:rsidRDefault="00BF4E3D" w:rsidP="00BF4E3D">
            <w:pPr>
              <w:pStyle w:val="ListParagraph"/>
              <w:numPr>
                <w:ilvl w:val="0"/>
                <w:numId w:val="1"/>
              </w:numPr>
              <w:rPr>
                <w:lang w:val="en-GB"/>
              </w:rPr>
            </w:pPr>
            <w:r>
              <w:rPr>
                <w:lang w:val="en-GB"/>
              </w:rPr>
              <w:t xml:space="preserve">The benefit of the PSPOs are that they allow more proactive and effective enforcement against anti-social behaviour in public places through fixed penalty notices. Prior to 2017, apart from Dog Control Orders, Fixed Penalty Notices (FPNs) could not </w:t>
            </w:r>
            <w:r w:rsidRPr="00EF3D84">
              <w:rPr>
                <w:lang w:val="en-GB"/>
              </w:rPr>
              <w:t>be given for low-level anti-social behaviour and prosecution</w:t>
            </w:r>
            <w:r>
              <w:rPr>
                <w:lang w:val="en-GB"/>
              </w:rPr>
              <w:t xml:space="preserve"> powers we</w:t>
            </w:r>
            <w:r w:rsidRPr="00EF3D84">
              <w:rPr>
                <w:lang w:val="en-GB"/>
              </w:rPr>
              <w:t>re very ra</w:t>
            </w:r>
            <w:r>
              <w:rPr>
                <w:lang w:val="en-GB"/>
              </w:rPr>
              <w:t>rely used - thus the deterrent wa</w:t>
            </w:r>
            <w:r w:rsidRPr="00EF3D84">
              <w:rPr>
                <w:lang w:val="en-GB"/>
              </w:rPr>
              <w:t>s weak.</w:t>
            </w:r>
          </w:p>
          <w:p w14:paraId="1A69C121" w14:textId="46336AEF" w:rsidR="00BF4E3D" w:rsidRPr="00EF3D84" w:rsidRDefault="00BF4E3D" w:rsidP="00BF4E3D">
            <w:pPr>
              <w:pStyle w:val="ListParagraph"/>
              <w:numPr>
                <w:ilvl w:val="0"/>
                <w:numId w:val="1"/>
              </w:numPr>
              <w:rPr>
                <w:lang w:val="en-GB"/>
              </w:rPr>
            </w:pPr>
            <w:r w:rsidRPr="00EF3D84">
              <w:rPr>
                <w:lang w:val="en-GB"/>
              </w:rPr>
              <w:t xml:space="preserve">An educational approach </w:t>
            </w:r>
            <w:r w:rsidR="00833878">
              <w:rPr>
                <w:lang w:val="en-GB"/>
              </w:rPr>
              <w:t>is</w:t>
            </w:r>
            <w:r>
              <w:rPr>
                <w:lang w:val="en-GB"/>
              </w:rPr>
              <w:t xml:space="preserve"> generally</w:t>
            </w:r>
            <w:r w:rsidRPr="00EF3D84">
              <w:rPr>
                <w:lang w:val="en-GB"/>
              </w:rPr>
              <w:t xml:space="preserve"> </w:t>
            </w:r>
            <w:r>
              <w:rPr>
                <w:lang w:val="en-GB"/>
              </w:rPr>
              <w:t>taken</w:t>
            </w:r>
            <w:r w:rsidRPr="00EF3D84">
              <w:rPr>
                <w:lang w:val="en-GB"/>
              </w:rPr>
              <w:t>, to give details to offenders why a behaviour is prohibited or required and an opportunity to correct it where possible.</w:t>
            </w:r>
            <w:r>
              <w:rPr>
                <w:lang w:val="en-GB"/>
              </w:rPr>
              <w:t xml:space="preserve"> </w:t>
            </w:r>
            <w:r w:rsidR="00196B6B">
              <w:rPr>
                <w:lang w:val="en-GB"/>
              </w:rPr>
              <w:t>Since the renewal in October 202</w:t>
            </w:r>
            <w:r w:rsidR="00CE7BDA">
              <w:rPr>
                <w:lang w:val="en-GB"/>
              </w:rPr>
              <w:t>0,</w:t>
            </w:r>
            <w:r>
              <w:rPr>
                <w:lang w:val="en-GB"/>
              </w:rPr>
              <w:t xml:space="preserve"> 6</w:t>
            </w:r>
            <w:r w:rsidR="00CE7BDA">
              <w:rPr>
                <w:lang w:val="en-GB"/>
              </w:rPr>
              <w:t>47</w:t>
            </w:r>
            <w:r>
              <w:rPr>
                <w:lang w:val="en-GB"/>
              </w:rPr>
              <w:t xml:space="preserve"> </w:t>
            </w:r>
            <w:r w:rsidRPr="001825E9">
              <w:rPr>
                <w:lang w:val="en-GB"/>
              </w:rPr>
              <w:t>F</w:t>
            </w:r>
            <w:r>
              <w:rPr>
                <w:lang w:val="en-GB"/>
              </w:rPr>
              <w:t>PNs have been issued.</w:t>
            </w:r>
          </w:p>
          <w:p w14:paraId="6622C9F4" w14:textId="77777777" w:rsidR="00BF4E3D" w:rsidRPr="00625F48" w:rsidRDefault="00BF4E3D" w:rsidP="00BF4E3D">
            <w:pPr>
              <w:pStyle w:val="ListParagraph"/>
              <w:numPr>
                <w:ilvl w:val="0"/>
                <w:numId w:val="1"/>
              </w:numPr>
              <w:rPr>
                <w:lang w:val="en-GB"/>
              </w:rPr>
            </w:pPr>
            <w:r w:rsidRPr="00EF3D84">
              <w:rPr>
                <w:lang w:val="en-GB"/>
              </w:rPr>
              <w:t xml:space="preserve">The outcome sought is that the law-abiding majority can use and enjoy public spaces without </w:t>
            </w:r>
            <w:r w:rsidRPr="00625F48">
              <w:rPr>
                <w:lang w:val="en-GB"/>
              </w:rPr>
              <w:t>fear of anti-social behaviour. This is likely to have a greater positive impact on disabled people, ethnic groups, women, young people and older people.</w:t>
            </w:r>
          </w:p>
          <w:p w14:paraId="16C6021C" w14:textId="58F3E271" w:rsidR="002C09F5" w:rsidRPr="00825398" w:rsidRDefault="002C09F5" w:rsidP="007553D9">
            <w:pPr>
              <w:pStyle w:val="ListParagraph"/>
              <w:rPr>
                <w:b/>
                <w:lang w:val="en-GB"/>
              </w:rPr>
            </w:pPr>
          </w:p>
        </w:tc>
      </w:tr>
    </w:tbl>
    <w:p w14:paraId="637E5664" w14:textId="77777777" w:rsidR="00825398" w:rsidRDefault="00825398" w:rsidP="00097418">
      <w:pPr>
        <w:rPr>
          <w:b/>
          <w:lang w:val="en-GB"/>
        </w:rPr>
      </w:pPr>
    </w:p>
    <w:p w14:paraId="13B78A77" w14:textId="11D80D23" w:rsidR="00185333" w:rsidRDefault="00BD5B9E" w:rsidP="00A3407B">
      <w:pPr>
        <w:pStyle w:val="ListParagraph"/>
        <w:numPr>
          <w:ilvl w:val="0"/>
          <w:numId w:val="7"/>
        </w:numPr>
        <w:ind w:left="0" w:hanging="284"/>
        <w:rPr>
          <w:b/>
          <w:lang w:val="en-GB"/>
        </w:rPr>
      </w:pPr>
      <w:r>
        <w:rPr>
          <w:b/>
          <w:lang w:val="en-GB"/>
        </w:rPr>
        <w:t xml:space="preserve">Evidence gathering and engagement </w:t>
      </w:r>
    </w:p>
    <w:p w14:paraId="7AD6B15D" w14:textId="634AA6DC" w:rsidR="003D27D1" w:rsidRDefault="003D27D1" w:rsidP="00EE2DCB">
      <w:pPr>
        <w:rPr>
          <w:b/>
          <w:lang w:val="en-GB"/>
        </w:rPr>
      </w:pPr>
    </w:p>
    <w:p w14:paraId="3D4A3219" w14:textId="7A065EA9" w:rsidR="000C3E2B" w:rsidRPr="008A05ED" w:rsidRDefault="00EE2DCB" w:rsidP="000C3E2B">
      <w:pPr>
        <w:rPr>
          <w:b/>
          <w:sz w:val="22"/>
          <w:szCs w:val="22"/>
          <w:lang w:val="en-GB"/>
        </w:rPr>
      </w:pPr>
      <w:r w:rsidRPr="00BC42E5">
        <w:rPr>
          <w:b/>
          <w:lang w:val="en-GB"/>
        </w:rPr>
        <w:t>a</w:t>
      </w:r>
      <w:r w:rsidR="00C027EB" w:rsidRPr="00BC42E5">
        <w:rPr>
          <w:b/>
          <w:lang w:val="en-GB"/>
        </w:rPr>
        <w:t xml:space="preserve">. </w:t>
      </w:r>
      <w:r w:rsidR="000C3E2B" w:rsidRPr="00BC42E5">
        <w:rPr>
          <w:b/>
          <w:lang w:val="en-GB"/>
        </w:rPr>
        <w:t xml:space="preserve">What evidence has been used for this assessment? For example, national data, local data via DataRich </w:t>
      </w:r>
      <w:r w:rsidR="002D4D2E">
        <w:rPr>
          <w:b/>
          <w:lang w:val="en-GB"/>
        </w:rPr>
        <w:t xml:space="preserve">or </w:t>
      </w:r>
      <w:r w:rsidR="002D4D2E" w:rsidRPr="00BC42E5">
        <w:rPr>
          <w:b/>
          <w:lang w:val="en-GB"/>
        </w:rPr>
        <w:t>DataWand</w:t>
      </w:r>
    </w:p>
    <w:p w14:paraId="6270AB64" w14:textId="2F083B82" w:rsidR="000C3E2B" w:rsidRDefault="000C3E2B" w:rsidP="000C3E2B">
      <w:pPr>
        <w:rPr>
          <w:b/>
          <w:lang w:val="en-GB"/>
        </w:rPr>
      </w:pPr>
      <w:r w:rsidRPr="000C3E2B">
        <w:rPr>
          <w:b/>
          <w:lang w:val="en-GB"/>
        </w:rPr>
        <w:t xml:space="preserve"> </w:t>
      </w:r>
    </w:p>
    <w:tbl>
      <w:tblPr>
        <w:tblStyle w:val="TableGrid"/>
        <w:tblW w:w="11058" w:type="dxa"/>
        <w:tblInd w:w="-998" w:type="dxa"/>
        <w:tblLook w:val="04A0" w:firstRow="1" w:lastRow="0" w:firstColumn="1" w:lastColumn="0" w:noHBand="0" w:noVBand="1"/>
      </w:tblPr>
      <w:tblGrid>
        <w:gridCol w:w="5503"/>
        <w:gridCol w:w="5555"/>
      </w:tblGrid>
      <w:tr w:rsidR="000C3E2B" w14:paraId="037C038C" w14:textId="77777777" w:rsidTr="004F0F6B">
        <w:tc>
          <w:tcPr>
            <w:tcW w:w="5503" w:type="dxa"/>
            <w:shd w:val="clear" w:color="auto" w:fill="DEEAF6" w:themeFill="accent1" w:themeFillTint="33"/>
          </w:tcPr>
          <w:p w14:paraId="3E79351B" w14:textId="7DD346C7" w:rsidR="000C3E2B" w:rsidRDefault="00EE7BEC" w:rsidP="000C3E2B">
            <w:pPr>
              <w:rPr>
                <w:b/>
                <w:lang w:val="en-GB"/>
              </w:rPr>
            </w:pPr>
            <w:r>
              <w:rPr>
                <w:b/>
                <w:lang w:val="en-GB"/>
              </w:rPr>
              <w:t>Evidence</w:t>
            </w:r>
          </w:p>
        </w:tc>
        <w:tc>
          <w:tcPr>
            <w:tcW w:w="5555" w:type="dxa"/>
            <w:shd w:val="clear" w:color="auto" w:fill="DEEAF6" w:themeFill="accent1" w:themeFillTint="33"/>
          </w:tcPr>
          <w:p w14:paraId="4AF7120B" w14:textId="30960E38" w:rsidR="000C3E2B" w:rsidRDefault="00EE7BEC" w:rsidP="000C3E2B">
            <w:pPr>
              <w:rPr>
                <w:b/>
                <w:lang w:val="en-GB"/>
              </w:rPr>
            </w:pPr>
            <w:r>
              <w:rPr>
                <w:b/>
                <w:lang w:val="en-GB"/>
              </w:rPr>
              <w:t>Source</w:t>
            </w:r>
          </w:p>
        </w:tc>
      </w:tr>
      <w:tr w:rsidR="000C3E2B" w14:paraId="5DA04BBF" w14:textId="77777777" w:rsidTr="00771F1D">
        <w:trPr>
          <w:trHeight w:val="395"/>
        </w:trPr>
        <w:tc>
          <w:tcPr>
            <w:tcW w:w="5503" w:type="dxa"/>
          </w:tcPr>
          <w:p w14:paraId="47A0B347" w14:textId="2A5D7223" w:rsidR="000C3E2B" w:rsidRDefault="00771F1D" w:rsidP="000C3E2B">
            <w:pPr>
              <w:rPr>
                <w:b/>
                <w:lang w:val="en-GB"/>
              </w:rPr>
            </w:pPr>
            <w:r>
              <w:rPr>
                <w:b/>
                <w:lang w:val="en-GB"/>
              </w:rPr>
              <w:t>Local Data</w:t>
            </w:r>
          </w:p>
        </w:tc>
        <w:tc>
          <w:tcPr>
            <w:tcW w:w="5555" w:type="dxa"/>
          </w:tcPr>
          <w:p w14:paraId="7B0A8514" w14:textId="31C451C1" w:rsidR="000C3E2B" w:rsidRDefault="00BF4E3D" w:rsidP="000C3E2B">
            <w:pPr>
              <w:rPr>
                <w:b/>
                <w:lang w:val="en-GB"/>
              </w:rPr>
            </w:pPr>
            <w:r>
              <w:rPr>
                <w:b/>
                <w:lang w:val="en-GB"/>
              </w:rPr>
              <w:t>Data Rich, Parks Customer Satisfaction Survey</w:t>
            </w:r>
            <w:r w:rsidR="00FE78DE">
              <w:rPr>
                <w:b/>
                <w:lang w:val="en-GB"/>
              </w:rPr>
              <w:t>, Census 2021</w:t>
            </w:r>
          </w:p>
        </w:tc>
      </w:tr>
      <w:tr w:rsidR="00771F1D" w14:paraId="322E5106" w14:textId="77777777" w:rsidTr="00771F1D">
        <w:trPr>
          <w:trHeight w:val="395"/>
        </w:trPr>
        <w:tc>
          <w:tcPr>
            <w:tcW w:w="5503" w:type="dxa"/>
          </w:tcPr>
          <w:p w14:paraId="527FB4DF" w14:textId="2AD89E07" w:rsidR="00771F1D" w:rsidRDefault="00771F1D" w:rsidP="000C3E2B">
            <w:pPr>
              <w:rPr>
                <w:b/>
                <w:lang w:val="en-GB"/>
              </w:rPr>
            </w:pPr>
            <w:r>
              <w:rPr>
                <w:b/>
                <w:lang w:val="en-GB"/>
              </w:rPr>
              <w:lastRenderedPageBreak/>
              <w:t>National Data</w:t>
            </w:r>
          </w:p>
        </w:tc>
        <w:tc>
          <w:tcPr>
            <w:tcW w:w="5555" w:type="dxa"/>
          </w:tcPr>
          <w:p w14:paraId="084AA1D0" w14:textId="28BB540F" w:rsidR="00771F1D" w:rsidRDefault="00771F1D" w:rsidP="000C3E2B">
            <w:pPr>
              <w:rPr>
                <w:b/>
                <w:lang w:val="en-GB"/>
              </w:rPr>
            </w:pPr>
            <w:r>
              <w:rPr>
                <w:b/>
                <w:lang w:val="en-GB"/>
              </w:rPr>
              <w:t>ONS, Census</w:t>
            </w:r>
            <w:r w:rsidR="00FE78DE">
              <w:rPr>
                <w:b/>
                <w:lang w:val="en-GB"/>
              </w:rPr>
              <w:t xml:space="preserve"> 2021</w:t>
            </w:r>
            <w:r w:rsidR="007553D9">
              <w:rPr>
                <w:b/>
                <w:lang w:val="en-GB"/>
              </w:rPr>
              <w:t>, GLA</w:t>
            </w:r>
          </w:p>
        </w:tc>
      </w:tr>
    </w:tbl>
    <w:p w14:paraId="69DFA8DD" w14:textId="445E20CB" w:rsidR="000C3E2B" w:rsidRDefault="000C3E2B" w:rsidP="000C3E2B">
      <w:pPr>
        <w:rPr>
          <w:b/>
          <w:lang w:val="en-GB"/>
        </w:rPr>
      </w:pPr>
    </w:p>
    <w:p w14:paraId="658BBE28" w14:textId="5FEABF09" w:rsidR="00BD5B9E" w:rsidRDefault="00EE2DCB" w:rsidP="000C3E2B">
      <w:pPr>
        <w:rPr>
          <w:b/>
          <w:lang w:val="en-GB"/>
        </w:rPr>
      </w:pPr>
      <w:r>
        <w:rPr>
          <w:b/>
          <w:lang w:val="en-GB"/>
        </w:rPr>
        <w:t>b</w:t>
      </w:r>
      <w:r w:rsidR="000C3E2B" w:rsidRPr="000C3E2B">
        <w:rPr>
          <w:b/>
          <w:lang w:val="en-GB"/>
        </w:rPr>
        <w:t>. Who have you engaged and consulted with as part of your assessment?</w:t>
      </w:r>
    </w:p>
    <w:p w14:paraId="68268FF8" w14:textId="2A6E19DA" w:rsidR="00BD5B9E" w:rsidRDefault="00BD5B9E" w:rsidP="00BD5B9E">
      <w:pPr>
        <w:rPr>
          <w:b/>
          <w:lang w:val="en-GB"/>
        </w:rPr>
      </w:pPr>
    </w:p>
    <w:tbl>
      <w:tblPr>
        <w:tblStyle w:val="TableGrid"/>
        <w:tblW w:w="11058" w:type="dxa"/>
        <w:tblInd w:w="-998" w:type="dxa"/>
        <w:tblLook w:val="04A0" w:firstRow="1" w:lastRow="0" w:firstColumn="1" w:lastColumn="0" w:noHBand="0" w:noVBand="1"/>
      </w:tblPr>
      <w:tblGrid>
        <w:gridCol w:w="2836"/>
        <w:gridCol w:w="3969"/>
        <w:gridCol w:w="1134"/>
        <w:gridCol w:w="3119"/>
      </w:tblGrid>
      <w:tr w:rsidR="00AB75C3" w14:paraId="544528E7" w14:textId="1F59926B" w:rsidTr="004F0F6B">
        <w:tc>
          <w:tcPr>
            <w:tcW w:w="2836" w:type="dxa"/>
            <w:shd w:val="clear" w:color="auto" w:fill="DEEAF6" w:themeFill="accent1" w:themeFillTint="33"/>
          </w:tcPr>
          <w:p w14:paraId="1061941E" w14:textId="5C19F029" w:rsidR="00AB75C3" w:rsidRDefault="00AB75C3" w:rsidP="00FE48EC">
            <w:pPr>
              <w:rPr>
                <w:b/>
                <w:lang w:val="en-GB"/>
              </w:rPr>
            </w:pPr>
            <w:r>
              <w:rPr>
                <w:b/>
                <w:lang w:val="en-GB"/>
              </w:rPr>
              <w:t>Individuals/Groups</w:t>
            </w:r>
          </w:p>
        </w:tc>
        <w:tc>
          <w:tcPr>
            <w:tcW w:w="3969" w:type="dxa"/>
            <w:shd w:val="clear" w:color="auto" w:fill="DEEAF6" w:themeFill="accent1" w:themeFillTint="33"/>
          </w:tcPr>
          <w:p w14:paraId="0A7C0E81" w14:textId="3C61C771" w:rsidR="00AB75C3" w:rsidRDefault="00AB75C3" w:rsidP="00FE48EC">
            <w:pPr>
              <w:rPr>
                <w:b/>
                <w:lang w:val="en-GB"/>
              </w:rPr>
            </w:pPr>
            <w:r>
              <w:rPr>
                <w:b/>
                <w:lang w:val="en-GB"/>
              </w:rPr>
              <w:t xml:space="preserve">Consultation/Engagement results </w:t>
            </w:r>
          </w:p>
        </w:tc>
        <w:tc>
          <w:tcPr>
            <w:tcW w:w="1134" w:type="dxa"/>
            <w:shd w:val="clear" w:color="auto" w:fill="DEEAF6" w:themeFill="accent1" w:themeFillTint="33"/>
          </w:tcPr>
          <w:p w14:paraId="54ECF4C4" w14:textId="34D79D32" w:rsidR="00AB75C3" w:rsidRDefault="00AB75C3" w:rsidP="00FE48EC">
            <w:pPr>
              <w:rPr>
                <w:b/>
                <w:lang w:val="en-GB"/>
              </w:rPr>
            </w:pPr>
            <w:r>
              <w:rPr>
                <w:b/>
                <w:lang w:val="en-GB"/>
              </w:rPr>
              <w:t>Date</w:t>
            </w:r>
          </w:p>
        </w:tc>
        <w:tc>
          <w:tcPr>
            <w:tcW w:w="3119" w:type="dxa"/>
            <w:shd w:val="clear" w:color="auto" w:fill="DEEAF6" w:themeFill="accent1" w:themeFillTint="33"/>
          </w:tcPr>
          <w:p w14:paraId="4A52D9AE" w14:textId="48715EEC" w:rsidR="00AB75C3" w:rsidRDefault="001C29D8" w:rsidP="00FE48EC">
            <w:pPr>
              <w:rPr>
                <w:b/>
                <w:lang w:val="en-GB"/>
              </w:rPr>
            </w:pPr>
            <w:r>
              <w:rPr>
                <w:b/>
                <w:lang w:val="en-GB"/>
              </w:rPr>
              <w:t>What changed as a result</w:t>
            </w:r>
            <w:r w:rsidR="00F5656E">
              <w:rPr>
                <w:b/>
                <w:lang w:val="en-GB"/>
              </w:rPr>
              <w:t xml:space="preserve"> of the consultation</w:t>
            </w:r>
          </w:p>
        </w:tc>
      </w:tr>
      <w:tr w:rsidR="00AB75C3" w14:paraId="61F7F80A" w14:textId="6F0477A6" w:rsidTr="00F5656E">
        <w:tc>
          <w:tcPr>
            <w:tcW w:w="2836" w:type="dxa"/>
          </w:tcPr>
          <w:p w14:paraId="7C3F0F0A" w14:textId="6AECC831" w:rsidR="00AB75C3" w:rsidRDefault="00D242B9" w:rsidP="00FE48EC">
            <w:pPr>
              <w:rPr>
                <w:b/>
                <w:lang w:val="en-GB"/>
              </w:rPr>
            </w:pPr>
            <w:r>
              <w:rPr>
                <w:b/>
                <w:lang w:val="en-GB"/>
              </w:rPr>
              <w:t>Residents</w:t>
            </w:r>
          </w:p>
        </w:tc>
        <w:tc>
          <w:tcPr>
            <w:tcW w:w="3969" w:type="dxa"/>
          </w:tcPr>
          <w:p w14:paraId="1A30ECC5" w14:textId="5D068EB2" w:rsidR="00AB75C3" w:rsidRDefault="006923B3" w:rsidP="00FE48EC">
            <w:pPr>
              <w:rPr>
                <w:b/>
                <w:lang w:val="en-GB"/>
              </w:rPr>
            </w:pPr>
            <w:r>
              <w:rPr>
                <w:b/>
                <w:lang w:val="en-GB"/>
              </w:rPr>
              <w:t>Online consultation</w:t>
            </w:r>
          </w:p>
        </w:tc>
        <w:tc>
          <w:tcPr>
            <w:tcW w:w="1134" w:type="dxa"/>
          </w:tcPr>
          <w:p w14:paraId="6862D171" w14:textId="3FC76ED7" w:rsidR="00AB75C3" w:rsidRDefault="009D1C5C" w:rsidP="00FE48EC">
            <w:pPr>
              <w:rPr>
                <w:b/>
                <w:lang w:val="en-GB"/>
              </w:rPr>
            </w:pPr>
            <w:r>
              <w:rPr>
                <w:b/>
                <w:lang w:val="en-GB"/>
              </w:rPr>
              <w:t>2</w:t>
            </w:r>
            <w:r w:rsidRPr="009D1C5C">
              <w:rPr>
                <w:b/>
                <w:vertAlign w:val="superscript"/>
                <w:lang w:val="en-GB"/>
              </w:rPr>
              <w:t>nd</w:t>
            </w:r>
            <w:r>
              <w:rPr>
                <w:b/>
                <w:lang w:val="en-GB"/>
              </w:rPr>
              <w:t xml:space="preserve"> June to 2</w:t>
            </w:r>
            <w:r w:rsidRPr="009D1C5C">
              <w:rPr>
                <w:b/>
                <w:vertAlign w:val="superscript"/>
                <w:lang w:val="en-GB"/>
              </w:rPr>
              <w:t>nd</w:t>
            </w:r>
            <w:r>
              <w:rPr>
                <w:b/>
                <w:lang w:val="en-GB"/>
              </w:rPr>
              <w:t xml:space="preserve"> July</w:t>
            </w:r>
          </w:p>
        </w:tc>
        <w:tc>
          <w:tcPr>
            <w:tcW w:w="3119" w:type="dxa"/>
          </w:tcPr>
          <w:p w14:paraId="196F1990" w14:textId="7DEE1A45" w:rsidR="00AB75C3" w:rsidRDefault="009D1C5C" w:rsidP="00FE48EC">
            <w:pPr>
              <w:rPr>
                <w:b/>
                <w:lang w:val="en-GB"/>
              </w:rPr>
            </w:pPr>
            <w:r>
              <w:rPr>
                <w:b/>
                <w:lang w:val="en-GB"/>
              </w:rPr>
              <w:t>N/A</w:t>
            </w:r>
          </w:p>
        </w:tc>
      </w:tr>
      <w:tr w:rsidR="00AB75C3" w14:paraId="3733FBFC" w14:textId="7F8299C1" w:rsidTr="00F5656E">
        <w:tc>
          <w:tcPr>
            <w:tcW w:w="2836" w:type="dxa"/>
          </w:tcPr>
          <w:p w14:paraId="69213391" w14:textId="77777777" w:rsidR="00AB75C3" w:rsidRDefault="00AB75C3" w:rsidP="00FE48EC">
            <w:pPr>
              <w:rPr>
                <w:b/>
                <w:lang w:val="en-GB"/>
              </w:rPr>
            </w:pPr>
          </w:p>
        </w:tc>
        <w:tc>
          <w:tcPr>
            <w:tcW w:w="3969" w:type="dxa"/>
          </w:tcPr>
          <w:p w14:paraId="39C43D75" w14:textId="77777777" w:rsidR="00AB75C3" w:rsidRDefault="00AB75C3" w:rsidP="00FE48EC">
            <w:pPr>
              <w:rPr>
                <w:b/>
                <w:lang w:val="en-GB"/>
              </w:rPr>
            </w:pPr>
          </w:p>
        </w:tc>
        <w:tc>
          <w:tcPr>
            <w:tcW w:w="1134" w:type="dxa"/>
          </w:tcPr>
          <w:p w14:paraId="38768E0B" w14:textId="77777777" w:rsidR="00AB75C3" w:rsidRDefault="00AB75C3" w:rsidP="00FE48EC">
            <w:pPr>
              <w:rPr>
                <w:b/>
                <w:lang w:val="en-GB"/>
              </w:rPr>
            </w:pPr>
          </w:p>
        </w:tc>
        <w:tc>
          <w:tcPr>
            <w:tcW w:w="3119" w:type="dxa"/>
          </w:tcPr>
          <w:p w14:paraId="50518270" w14:textId="77777777" w:rsidR="00AB75C3" w:rsidRDefault="00AB75C3" w:rsidP="00FE48EC">
            <w:pPr>
              <w:rPr>
                <w:b/>
                <w:lang w:val="en-GB"/>
              </w:rPr>
            </w:pPr>
          </w:p>
        </w:tc>
      </w:tr>
      <w:tr w:rsidR="00AB75C3" w14:paraId="00250770" w14:textId="04949102" w:rsidTr="00F5656E">
        <w:tc>
          <w:tcPr>
            <w:tcW w:w="2836" w:type="dxa"/>
          </w:tcPr>
          <w:p w14:paraId="6DA0FE2D" w14:textId="77777777" w:rsidR="00AB75C3" w:rsidRDefault="00AB75C3" w:rsidP="00FE48EC">
            <w:pPr>
              <w:rPr>
                <w:b/>
                <w:lang w:val="en-GB"/>
              </w:rPr>
            </w:pPr>
          </w:p>
        </w:tc>
        <w:tc>
          <w:tcPr>
            <w:tcW w:w="3969" w:type="dxa"/>
          </w:tcPr>
          <w:p w14:paraId="54440945" w14:textId="77777777" w:rsidR="00AB75C3" w:rsidRDefault="00AB75C3" w:rsidP="00FE48EC">
            <w:pPr>
              <w:rPr>
                <w:b/>
                <w:lang w:val="en-GB"/>
              </w:rPr>
            </w:pPr>
          </w:p>
        </w:tc>
        <w:tc>
          <w:tcPr>
            <w:tcW w:w="1134" w:type="dxa"/>
          </w:tcPr>
          <w:p w14:paraId="51247EE5" w14:textId="77777777" w:rsidR="00AB75C3" w:rsidRDefault="00AB75C3" w:rsidP="00FE48EC">
            <w:pPr>
              <w:rPr>
                <w:b/>
                <w:lang w:val="en-GB"/>
              </w:rPr>
            </w:pPr>
          </w:p>
        </w:tc>
        <w:tc>
          <w:tcPr>
            <w:tcW w:w="3119" w:type="dxa"/>
          </w:tcPr>
          <w:p w14:paraId="528BB7C4" w14:textId="77777777" w:rsidR="00AB75C3" w:rsidRDefault="00AB75C3" w:rsidP="00FE48EC">
            <w:pPr>
              <w:rPr>
                <w:b/>
                <w:lang w:val="en-GB"/>
              </w:rPr>
            </w:pPr>
          </w:p>
        </w:tc>
      </w:tr>
      <w:tr w:rsidR="00AB75C3" w14:paraId="71BAE659" w14:textId="151C6A35" w:rsidTr="00F5656E">
        <w:tc>
          <w:tcPr>
            <w:tcW w:w="2836" w:type="dxa"/>
          </w:tcPr>
          <w:p w14:paraId="407AC0BB" w14:textId="77777777" w:rsidR="00AB75C3" w:rsidRDefault="00AB75C3" w:rsidP="00FE48EC">
            <w:pPr>
              <w:rPr>
                <w:b/>
                <w:lang w:val="en-GB"/>
              </w:rPr>
            </w:pPr>
          </w:p>
        </w:tc>
        <w:tc>
          <w:tcPr>
            <w:tcW w:w="3969" w:type="dxa"/>
          </w:tcPr>
          <w:p w14:paraId="4040A073" w14:textId="77777777" w:rsidR="00AB75C3" w:rsidRDefault="00AB75C3" w:rsidP="00FE48EC">
            <w:pPr>
              <w:rPr>
                <w:b/>
                <w:lang w:val="en-GB"/>
              </w:rPr>
            </w:pPr>
          </w:p>
        </w:tc>
        <w:tc>
          <w:tcPr>
            <w:tcW w:w="1134" w:type="dxa"/>
          </w:tcPr>
          <w:p w14:paraId="0A581F71" w14:textId="77777777" w:rsidR="00AB75C3" w:rsidRDefault="00AB75C3" w:rsidP="00FE48EC">
            <w:pPr>
              <w:rPr>
                <w:b/>
                <w:lang w:val="en-GB"/>
              </w:rPr>
            </w:pPr>
          </w:p>
        </w:tc>
        <w:tc>
          <w:tcPr>
            <w:tcW w:w="3119" w:type="dxa"/>
          </w:tcPr>
          <w:p w14:paraId="7E23412D" w14:textId="77777777" w:rsidR="00AB75C3" w:rsidRDefault="00AB75C3" w:rsidP="00FE48EC">
            <w:pPr>
              <w:rPr>
                <w:b/>
                <w:lang w:val="en-GB"/>
              </w:rPr>
            </w:pPr>
          </w:p>
        </w:tc>
      </w:tr>
    </w:tbl>
    <w:p w14:paraId="4F24C4C2" w14:textId="509D1AEC" w:rsidR="00BD5B9E" w:rsidRDefault="00BD5B9E" w:rsidP="00BD5B9E">
      <w:pPr>
        <w:rPr>
          <w:b/>
          <w:lang w:val="en-GB"/>
        </w:rPr>
      </w:pPr>
    </w:p>
    <w:p w14:paraId="0DFE955C" w14:textId="1449F1CF" w:rsidR="00825398" w:rsidRPr="00BE2FE6" w:rsidRDefault="00BF6A6C" w:rsidP="004E0F4F">
      <w:pPr>
        <w:pStyle w:val="ListParagraph"/>
        <w:numPr>
          <w:ilvl w:val="0"/>
          <w:numId w:val="7"/>
        </w:numPr>
        <w:ind w:left="0" w:hanging="284"/>
        <w:rPr>
          <w:b/>
          <w:lang w:val="en-GB"/>
        </w:rPr>
      </w:pPr>
      <w:r w:rsidRPr="00BE2FE6">
        <w:rPr>
          <w:b/>
          <w:lang w:val="en-GB"/>
        </w:rPr>
        <w:t xml:space="preserve">Analysis of need </w:t>
      </w:r>
    </w:p>
    <w:p w14:paraId="1986B3AE" w14:textId="77777777" w:rsidR="00BF6A6C" w:rsidRDefault="00BF6A6C" w:rsidP="00097418">
      <w:pPr>
        <w:rPr>
          <w:b/>
          <w:lang w:val="en-GB"/>
        </w:rPr>
      </w:pPr>
    </w:p>
    <w:p w14:paraId="7E2571EA" w14:textId="5C108D1A" w:rsidR="009464D6" w:rsidRDefault="009464D6" w:rsidP="00097418">
      <w:pPr>
        <w:rPr>
          <w:b/>
          <w:lang w:val="en-GB"/>
        </w:rPr>
      </w:pPr>
      <w:bookmarkStart w:id="0" w:name="_Hlk95730713"/>
      <w:r>
        <w:rPr>
          <w:b/>
        </w:rPr>
        <w:t>Potential impact on this group of residents and actions taken to mitigate impact and advance equality, diversity and inclusion</w:t>
      </w:r>
    </w:p>
    <w:bookmarkEnd w:id="0"/>
    <w:p w14:paraId="1C3D16DE" w14:textId="77777777" w:rsidR="009464D6" w:rsidRDefault="009464D6" w:rsidP="00097418">
      <w:pPr>
        <w:rPr>
          <w:b/>
          <w:lang w:val="en-GB"/>
        </w:rPr>
      </w:pPr>
    </w:p>
    <w:tbl>
      <w:tblPr>
        <w:tblStyle w:val="TableGrid"/>
        <w:tblW w:w="11058" w:type="dxa"/>
        <w:tblInd w:w="-998" w:type="dxa"/>
        <w:tblLook w:val="04A0" w:firstRow="1" w:lastRow="0" w:firstColumn="1" w:lastColumn="0" w:noHBand="0" w:noVBand="1"/>
      </w:tblPr>
      <w:tblGrid>
        <w:gridCol w:w="2870"/>
        <w:gridCol w:w="8188"/>
      </w:tblGrid>
      <w:tr w:rsidR="00472D5D" w14:paraId="1F19A137" w14:textId="77777777" w:rsidTr="004F0F6B">
        <w:tc>
          <w:tcPr>
            <w:tcW w:w="2870" w:type="dxa"/>
            <w:shd w:val="clear" w:color="auto" w:fill="DEEAF6" w:themeFill="accent1" w:themeFillTint="33"/>
          </w:tcPr>
          <w:p w14:paraId="24132CC8" w14:textId="7329AB7A" w:rsidR="00472D5D" w:rsidRDefault="00472D5D" w:rsidP="00097418">
            <w:pPr>
              <w:rPr>
                <w:b/>
                <w:lang w:val="en-GB"/>
              </w:rPr>
            </w:pPr>
            <w:r>
              <w:rPr>
                <w:b/>
                <w:lang w:val="en-GB"/>
              </w:rPr>
              <w:t>Protected group</w:t>
            </w:r>
          </w:p>
        </w:tc>
        <w:tc>
          <w:tcPr>
            <w:tcW w:w="8188" w:type="dxa"/>
            <w:shd w:val="clear" w:color="auto" w:fill="DEEAF6" w:themeFill="accent1" w:themeFillTint="33"/>
          </w:tcPr>
          <w:p w14:paraId="0EA9B1E0" w14:textId="4D78F9A0" w:rsidR="00472D5D" w:rsidRDefault="00472D5D" w:rsidP="00097418">
            <w:pPr>
              <w:rPr>
                <w:b/>
                <w:lang w:val="en-GB"/>
              </w:rPr>
            </w:pPr>
            <w:r>
              <w:rPr>
                <w:b/>
                <w:lang w:val="en-GB"/>
              </w:rPr>
              <w:t>Findings</w:t>
            </w:r>
          </w:p>
        </w:tc>
      </w:tr>
      <w:tr w:rsidR="00472D5D" w14:paraId="7E699E6C" w14:textId="77777777" w:rsidTr="00167645">
        <w:trPr>
          <w:trHeight w:val="339"/>
        </w:trPr>
        <w:tc>
          <w:tcPr>
            <w:tcW w:w="2870" w:type="dxa"/>
          </w:tcPr>
          <w:p w14:paraId="354A6F5B" w14:textId="62003552" w:rsidR="00472D5D" w:rsidRDefault="00472D5D" w:rsidP="00097418">
            <w:pPr>
              <w:rPr>
                <w:b/>
                <w:lang w:val="en-GB"/>
              </w:rPr>
            </w:pPr>
            <w:r>
              <w:rPr>
                <w:b/>
                <w:lang w:val="en-GB"/>
              </w:rPr>
              <w:t>Age</w:t>
            </w:r>
          </w:p>
        </w:tc>
        <w:tc>
          <w:tcPr>
            <w:tcW w:w="8188" w:type="dxa"/>
          </w:tcPr>
          <w:p w14:paraId="335FDD85" w14:textId="77777777" w:rsidR="00592739" w:rsidRDefault="00592739" w:rsidP="00592739">
            <w:pPr>
              <w:spacing w:after="60"/>
              <w:rPr>
                <w:lang w:val="en-GB"/>
              </w:rPr>
            </w:pPr>
          </w:p>
          <w:tbl>
            <w:tblPr>
              <w:tblStyle w:val="TableGrid"/>
              <w:tblW w:w="0" w:type="auto"/>
              <w:tblLook w:val="04A0" w:firstRow="1" w:lastRow="0" w:firstColumn="1" w:lastColumn="0" w:noHBand="0" w:noVBand="1"/>
            </w:tblPr>
            <w:tblGrid>
              <w:gridCol w:w="1218"/>
              <w:gridCol w:w="1218"/>
              <w:gridCol w:w="1218"/>
            </w:tblGrid>
            <w:tr w:rsidR="00C43D5D" w14:paraId="0B8C1157" w14:textId="77777777" w:rsidTr="00EE3C6E">
              <w:tc>
                <w:tcPr>
                  <w:tcW w:w="1218" w:type="dxa"/>
                  <w:shd w:val="clear" w:color="auto" w:fill="D9D9D9" w:themeFill="background1" w:themeFillShade="D9"/>
                </w:tcPr>
                <w:p w14:paraId="7FC2193E" w14:textId="77777777" w:rsidR="00C43D5D" w:rsidRDefault="00C43D5D" w:rsidP="00592739">
                  <w:pPr>
                    <w:spacing w:after="60"/>
                    <w:rPr>
                      <w:lang w:val="en-GB"/>
                    </w:rPr>
                  </w:pPr>
                  <w:r>
                    <w:rPr>
                      <w:lang w:val="en-GB"/>
                    </w:rPr>
                    <w:t>Age group</w:t>
                  </w:r>
                </w:p>
              </w:tc>
              <w:tc>
                <w:tcPr>
                  <w:tcW w:w="1218" w:type="dxa"/>
                  <w:shd w:val="clear" w:color="auto" w:fill="D9D9D9" w:themeFill="background1" w:themeFillShade="D9"/>
                </w:tcPr>
                <w:p w14:paraId="544F6F3C" w14:textId="30A6506D" w:rsidR="00C43D5D" w:rsidRDefault="00C43D5D" w:rsidP="00592739">
                  <w:pPr>
                    <w:spacing w:after="60"/>
                    <w:jc w:val="center"/>
                    <w:rPr>
                      <w:lang w:val="en-GB"/>
                    </w:rPr>
                  </w:pPr>
                  <w:r>
                    <w:rPr>
                      <w:lang w:val="en-GB"/>
                    </w:rPr>
                    <w:t>Census (2021)</w:t>
                  </w:r>
                </w:p>
              </w:tc>
              <w:tc>
                <w:tcPr>
                  <w:tcW w:w="1218" w:type="dxa"/>
                  <w:shd w:val="clear" w:color="auto" w:fill="D9D9D9" w:themeFill="background1" w:themeFillShade="D9"/>
                </w:tcPr>
                <w:p w14:paraId="5A8E6705" w14:textId="77777777" w:rsidR="00C43D5D" w:rsidRDefault="00C43D5D" w:rsidP="00592739">
                  <w:pPr>
                    <w:spacing w:after="60"/>
                    <w:jc w:val="center"/>
                    <w:rPr>
                      <w:lang w:val="en-GB"/>
                    </w:rPr>
                  </w:pPr>
                  <w:r>
                    <w:rPr>
                      <w:lang w:val="en-GB"/>
                    </w:rPr>
                    <w:t>PCUS (2021)</w:t>
                  </w:r>
                </w:p>
              </w:tc>
            </w:tr>
            <w:tr w:rsidR="00C43D5D" w14:paraId="7E02173C" w14:textId="77777777" w:rsidTr="00EE3C6E">
              <w:tc>
                <w:tcPr>
                  <w:tcW w:w="1218" w:type="dxa"/>
                </w:tcPr>
                <w:p w14:paraId="1781F493" w14:textId="77777777" w:rsidR="00C43D5D" w:rsidRDefault="00C43D5D" w:rsidP="00592739">
                  <w:pPr>
                    <w:spacing w:after="60"/>
                    <w:rPr>
                      <w:lang w:val="en-GB"/>
                    </w:rPr>
                  </w:pPr>
                  <w:r>
                    <w:rPr>
                      <w:lang w:val="en-GB"/>
                    </w:rPr>
                    <w:t>75+</w:t>
                  </w:r>
                </w:p>
              </w:tc>
              <w:tc>
                <w:tcPr>
                  <w:tcW w:w="1218" w:type="dxa"/>
                </w:tcPr>
                <w:p w14:paraId="6F906731" w14:textId="6D35A004" w:rsidR="00C43D5D" w:rsidRDefault="00C43D5D" w:rsidP="00592739">
                  <w:pPr>
                    <w:spacing w:after="60"/>
                    <w:jc w:val="center"/>
                    <w:rPr>
                      <w:lang w:val="en-GB"/>
                    </w:rPr>
                  </w:pPr>
                  <w:r>
                    <w:rPr>
                      <w:lang w:val="en-GB"/>
                    </w:rPr>
                    <w:t>7.3%</w:t>
                  </w:r>
                </w:p>
              </w:tc>
              <w:tc>
                <w:tcPr>
                  <w:tcW w:w="1218" w:type="dxa"/>
                </w:tcPr>
                <w:p w14:paraId="03A2127A" w14:textId="77777777" w:rsidR="00C43D5D" w:rsidRDefault="00C43D5D" w:rsidP="00592739">
                  <w:pPr>
                    <w:spacing w:after="60"/>
                    <w:jc w:val="center"/>
                    <w:rPr>
                      <w:lang w:val="en-GB"/>
                    </w:rPr>
                  </w:pPr>
                  <w:r>
                    <w:rPr>
                      <w:lang w:val="en-GB"/>
                    </w:rPr>
                    <w:t>9%</w:t>
                  </w:r>
                </w:p>
              </w:tc>
            </w:tr>
            <w:tr w:rsidR="00C43D5D" w14:paraId="3C295FE1" w14:textId="77777777" w:rsidTr="00EE3C6E">
              <w:tc>
                <w:tcPr>
                  <w:tcW w:w="1218" w:type="dxa"/>
                </w:tcPr>
                <w:p w14:paraId="31425A33" w14:textId="77777777" w:rsidR="00C43D5D" w:rsidRDefault="00C43D5D" w:rsidP="00592739">
                  <w:pPr>
                    <w:spacing w:after="60"/>
                    <w:rPr>
                      <w:lang w:val="en-GB"/>
                    </w:rPr>
                  </w:pPr>
                  <w:r>
                    <w:rPr>
                      <w:lang w:val="en-GB"/>
                    </w:rPr>
                    <w:t>65-74</w:t>
                  </w:r>
                </w:p>
              </w:tc>
              <w:tc>
                <w:tcPr>
                  <w:tcW w:w="1218" w:type="dxa"/>
                </w:tcPr>
                <w:p w14:paraId="598B24AD" w14:textId="78CA6B9A" w:rsidR="00C43D5D" w:rsidRDefault="00C43D5D" w:rsidP="00592739">
                  <w:pPr>
                    <w:spacing w:after="60"/>
                    <w:jc w:val="center"/>
                    <w:rPr>
                      <w:lang w:val="en-GB"/>
                    </w:rPr>
                  </w:pPr>
                  <w:r>
                    <w:rPr>
                      <w:lang w:val="en-GB"/>
                    </w:rPr>
                    <w:t>8.9%</w:t>
                  </w:r>
                </w:p>
              </w:tc>
              <w:tc>
                <w:tcPr>
                  <w:tcW w:w="1218" w:type="dxa"/>
                </w:tcPr>
                <w:p w14:paraId="200C65BD" w14:textId="77777777" w:rsidR="00C43D5D" w:rsidRDefault="00C43D5D" w:rsidP="00592739">
                  <w:pPr>
                    <w:spacing w:after="60"/>
                    <w:jc w:val="center"/>
                    <w:rPr>
                      <w:lang w:val="en-GB"/>
                    </w:rPr>
                  </w:pPr>
                  <w:r>
                    <w:rPr>
                      <w:lang w:val="en-GB"/>
                    </w:rPr>
                    <w:t>17%</w:t>
                  </w:r>
                </w:p>
              </w:tc>
            </w:tr>
            <w:tr w:rsidR="00C43D5D" w14:paraId="3C291E6F" w14:textId="77777777" w:rsidTr="00EE3C6E">
              <w:tc>
                <w:tcPr>
                  <w:tcW w:w="1218" w:type="dxa"/>
                </w:tcPr>
                <w:p w14:paraId="1A4FFEA0" w14:textId="77777777" w:rsidR="00C43D5D" w:rsidRDefault="00C43D5D" w:rsidP="00592739">
                  <w:pPr>
                    <w:spacing w:after="60"/>
                    <w:rPr>
                      <w:lang w:val="en-GB"/>
                    </w:rPr>
                  </w:pPr>
                  <w:r>
                    <w:rPr>
                      <w:lang w:val="en-GB"/>
                    </w:rPr>
                    <w:t>55-64</w:t>
                  </w:r>
                </w:p>
              </w:tc>
              <w:tc>
                <w:tcPr>
                  <w:tcW w:w="1218" w:type="dxa"/>
                </w:tcPr>
                <w:p w14:paraId="09E80955" w14:textId="5770CC96" w:rsidR="00C43D5D" w:rsidRDefault="00C43D5D" w:rsidP="00592739">
                  <w:pPr>
                    <w:spacing w:after="60"/>
                    <w:jc w:val="center"/>
                    <w:rPr>
                      <w:lang w:val="en-GB"/>
                    </w:rPr>
                  </w:pPr>
                  <w:r>
                    <w:rPr>
                      <w:lang w:val="en-GB"/>
                    </w:rPr>
                    <w:t>12.4%</w:t>
                  </w:r>
                </w:p>
              </w:tc>
              <w:tc>
                <w:tcPr>
                  <w:tcW w:w="1218" w:type="dxa"/>
                </w:tcPr>
                <w:p w14:paraId="09757715" w14:textId="77777777" w:rsidR="00C43D5D" w:rsidRDefault="00C43D5D" w:rsidP="00592739">
                  <w:pPr>
                    <w:spacing w:after="60"/>
                    <w:jc w:val="center"/>
                    <w:rPr>
                      <w:lang w:val="en-GB"/>
                    </w:rPr>
                  </w:pPr>
                  <w:r>
                    <w:rPr>
                      <w:lang w:val="en-GB"/>
                    </w:rPr>
                    <w:t>22%</w:t>
                  </w:r>
                </w:p>
              </w:tc>
            </w:tr>
            <w:tr w:rsidR="00C43D5D" w14:paraId="030279B1" w14:textId="77777777" w:rsidTr="00EE3C6E">
              <w:tc>
                <w:tcPr>
                  <w:tcW w:w="1218" w:type="dxa"/>
                </w:tcPr>
                <w:p w14:paraId="10815D85" w14:textId="77777777" w:rsidR="00C43D5D" w:rsidRDefault="00C43D5D" w:rsidP="00592739">
                  <w:pPr>
                    <w:spacing w:after="60"/>
                    <w:rPr>
                      <w:lang w:val="en-GB"/>
                    </w:rPr>
                  </w:pPr>
                  <w:r>
                    <w:rPr>
                      <w:lang w:val="en-GB"/>
                    </w:rPr>
                    <w:t>45-54</w:t>
                  </w:r>
                </w:p>
              </w:tc>
              <w:tc>
                <w:tcPr>
                  <w:tcW w:w="1218" w:type="dxa"/>
                </w:tcPr>
                <w:p w14:paraId="4DED7EF3" w14:textId="739EA00B" w:rsidR="00C43D5D" w:rsidRDefault="00C43D5D" w:rsidP="00592739">
                  <w:pPr>
                    <w:spacing w:after="60"/>
                    <w:jc w:val="center"/>
                    <w:rPr>
                      <w:lang w:val="en-GB"/>
                    </w:rPr>
                  </w:pPr>
                  <w:r>
                    <w:rPr>
                      <w:lang w:val="en-GB"/>
                    </w:rPr>
                    <w:t>16.1%</w:t>
                  </w:r>
                </w:p>
              </w:tc>
              <w:tc>
                <w:tcPr>
                  <w:tcW w:w="1218" w:type="dxa"/>
                </w:tcPr>
                <w:p w14:paraId="518789D9" w14:textId="77777777" w:rsidR="00C43D5D" w:rsidRDefault="00C43D5D" w:rsidP="00592739">
                  <w:pPr>
                    <w:spacing w:after="60"/>
                    <w:jc w:val="center"/>
                    <w:rPr>
                      <w:lang w:val="en-GB"/>
                    </w:rPr>
                  </w:pPr>
                  <w:r>
                    <w:rPr>
                      <w:lang w:val="en-GB"/>
                    </w:rPr>
                    <w:t>23%</w:t>
                  </w:r>
                </w:p>
              </w:tc>
            </w:tr>
            <w:tr w:rsidR="00C43D5D" w14:paraId="5A637E00" w14:textId="77777777" w:rsidTr="00EE3C6E">
              <w:tc>
                <w:tcPr>
                  <w:tcW w:w="1218" w:type="dxa"/>
                </w:tcPr>
                <w:p w14:paraId="110334C6" w14:textId="77777777" w:rsidR="00C43D5D" w:rsidRDefault="00C43D5D" w:rsidP="00592739">
                  <w:pPr>
                    <w:spacing w:after="60"/>
                    <w:rPr>
                      <w:lang w:val="en-GB"/>
                    </w:rPr>
                  </w:pPr>
                  <w:r>
                    <w:rPr>
                      <w:lang w:val="en-GB"/>
                    </w:rPr>
                    <w:t>35-44</w:t>
                  </w:r>
                </w:p>
              </w:tc>
              <w:tc>
                <w:tcPr>
                  <w:tcW w:w="1218" w:type="dxa"/>
                </w:tcPr>
                <w:p w14:paraId="430C4F9F" w14:textId="2E5CB69A" w:rsidR="00C43D5D" w:rsidRDefault="00C43D5D" w:rsidP="00592739">
                  <w:pPr>
                    <w:spacing w:after="60"/>
                    <w:jc w:val="center"/>
                    <w:rPr>
                      <w:lang w:val="en-GB"/>
                    </w:rPr>
                  </w:pPr>
                  <w:r>
                    <w:rPr>
                      <w:lang w:val="en-GB"/>
                    </w:rPr>
                    <w:t>15.9%</w:t>
                  </w:r>
                </w:p>
              </w:tc>
              <w:tc>
                <w:tcPr>
                  <w:tcW w:w="1218" w:type="dxa"/>
                </w:tcPr>
                <w:p w14:paraId="15192602" w14:textId="77777777" w:rsidR="00C43D5D" w:rsidRDefault="00C43D5D" w:rsidP="00592739">
                  <w:pPr>
                    <w:spacing w:after="60"/>
                    <w:jc w:val="center"/>
                    <w:rPr>
                      <w:lang w:val="en-GB"/>
                    </w:rPr>
                  </w:pPr>
                  <w:r>
                    <w:rPr>
                      <w:lang w:val="en-GB"/>
                    </w:rPr>
                    <w:t>20%</w:t>
                  </w:r>
                </w:p>
              </w:tc>
            </w:tr>
            <w:tr w:rsidR="00C43D5D" w14:paraId="4ACF41E7" w14:textId="77777777" w:rsidTr="00EE3C6E">
              <w:tc>
                <w:tcPr>
                  <w:tcW w:w="1218" w:type="dxa"/>
                </w:tcPr>
                <w:p w14:paraId="35E59C52" w14:textId="77777777" w:rsidR="00C43D5D" w:rsidRDefault="00C43D5D" w:rsidP="00592739">
                  <w:pPr>
                    <w:spacing w:after="60"/>
                    <w:rPr>
                      <w:lang w:val="en-GB"/>
                    </w:rPr>
                  </w:pPr>
                  <w:r>
                    <w:rPr>
                      <w:lang w:val="en-GB"/>
                    </w:rPr>
                    <w:t>25-34</w:t>
                  </w:r>
                </w:p>
              </w:tc>
              <w:tc>
                <w:tcPr>
                  <w:tcW w:w="1218" w:type="dxa"/>
                </w:tcPr>
                <w:p w14:paraId="44AABE52" w14:textId="6383BBE2" w:rsidR="00C43D5D" w:rsidRDefault="00C43D5D" w:rsidP="00592739">
                  <w:pPr>
                    <w:spacing w:after="60"/>
                    <w:jc w:val="center"/>
                    <w:rPr>
                      <w:lang w:val="en-GB"/>
                    </w:rPr>
                  </w:pPr>
                  <w:r>
                    <w:rPr>
                      <w:lang w:val="en-GB"/>
                    </w:rPr>
                    <w:t>11.3%</w:t>
                  </w:r>
                </w:p>
              </w:tc>
              <w:tc>
                <w:tcPr>
                  <w:tcW w:w="1218" w:type="dxa"/>
                </w:tcPr>
                <w:p w14:paraId="67D0E28A" w14:textId="77777777" w:rsidR="00C43D5D" w:rsidRDefault="00C43D5D" w:rsidP="00592739">
                  <w:pPr>
                    <w:spacing w:after="60"/>
                    <w:jc w:val="center"/>
                    <w:rPr>
                      <w:lang w:val="en-GB"/>
                    </w:rPr>
                  </w:pPr>
                  <w:r>
                    <w:rPr>
                      <w:lang w:val="en-GB"/>
                    </w:rPr>
                    <w:t>5%</w:t>
                  </w:r>
                </w:p>
              </w:tc>
            </w:tr>
            <w:tr w:rsidR="00C43D5D" w14:paraId="3B303098" w14:textId="77777777" w:rsidTr="00EE3C6E">
              <w:tc>
                <w:tcPr>
                  <w:tcW w:w="1218" w:type="dxa"/>
                </w:tcPr>
                <w:p w14:paraId="0C2009AC" w14:textId="77777777" w:rsidR="00C43D5D" w:rsidRDefault="00C43D5D" w:rsidP="00592739">
                  <w:pPr>
                    <w:spacing w:after="60"/>
                    <w:rPr>
                      <w:lang w:val="en-GB"/>
                    </w:rPr>
                  </w:pPr>
                  <w:r>
                    <w:rPr>
                      <w:lang w:val="en-GB"/>
                    </w:rPr>
                    <w:t>15-24*</w:t>
                  </w:r>
                </w:p>
              </w:tc>
              <w:tc>
                <w:tcPr>
                  <w:tcW w:w="1218" w:type="dxa"/>
                </w:tcPr>
                <w:p w14:paraId="441FBB4A" w14:textId="4CABE589" w:rsidR="00C43D5D" w:rsidRDefault="00C43D5D" w:rsidP="00592739">
                  <w:pPr>
                    <w:spacing w:after="60"/>
                    <w:jc w:val="center"/>
                    <w:rPr>
                      <w:lang w:val="en-GB"/>
                    </w:rPr>
                  </w:pPr>
                  <w:r>
                    <w:rPr>
                      <w:lang w:val="en-GB"/>
                    </w:rPr>
                    <w:t>10%</w:t>
                  </w:r>
                </w:p>
              </w:tc>
              <w:tc>
                <w:tcPr>
                  <w:tcW w:w="1218" w:type="dxa"/>
                </w:tcPr>
                <w:p w14:paraId="6ECCD561" w14:textId="77777777" w:rsidR="00C43D5D" w:rsidRDefault="00C43D5D" w:rsidP="00592739">
                  <w:pPr>
                    <w:spacing w:after="60"/>
                    <w:jc w:val="center"/>
                    <w:rPr>
                      <w:lang w:val="en-GB"/>
                    </w:rPr>
                  </w:pPr>
                  <w:r>
                    <w:rPr>
                      <w:lang w:val="en-GB"/>
                    </w:rPr>
                    <w:t>0%</w:t>
                  </w:r>
                </w:p>
                <w:p w14:paraId="4322CC78" w14:textId="77777777" w:rsidR="00C43D5D" w:rsidRPr="004A0CED" w:rsidRDefault="00C43D5D" w:rsidP="00592739">
                  <w:pPr>
                    <w:spacing w:after="60"/>
                    <w:jc w:val="center"/>
                    <w:rPr>
                      <w:sz w:val="22"/>
                      <w:szCs w:val="22"/>
                      <w:lang w:val="en-GB"/>
                    </w:rPr>
                  </w:pPr>
                  <w:r w:rsidRPr="004A0CED">
                    <w:rPr>
                      <w:sz w:val="22"/>
                      <w:szCs w:val="22"/>
                      <w:lang w:val="en-GB"/>
                    </w:rPr>
                    <w:t>(</w:t>
                  </w:r>
                  <w:r>
                    <w:rPr>
                      <w:sz w:val="22"/>
                      <w:szCs w:val="22"/>
                      <w:lang w:val="en-GB"/>
                    </w:rPr>
                    <w:t>20</w:t>
                  </w:r>
                  <w:r w:rsidRPr="004A0CED">
                    <w:rPr>
                      <w:sz w:val="22"/>
                      <w:szCs w:val="22"/>
                      <w:lang w:val="en-GB"/>
                    </w:rPr>
                    <w:t>-24)*</w:t>
                  </w:r>
                </w:p>
              </w:tc>
            </w:tr>
            <w:tr w:rsidR="00C43D5D" w14:paraId="31D852C8" w14:textId="77777777" w:rsidTr="00EE3C6E">
              <w:tc>
                <w:tcPr>
                  <w:tcW w:w="1218" w:type="dxa"/>
                </w:tcPr>
                <w:p w14:paraId="42C4F88E" w14:textId="77777777" w:rsidR="00C43D5D" w:rsidRDefault="00C43D5D" w:rsidP="00592739">
                  <w:pPr>
                    <w:spacing w:after="60"/>
                    <w:rPr>
                      <w:lang w:val="en-GB"/>
                    </w:rPr>
                  </w:pPr>
                  <w:r>
                    <w:rPr>
                      <w:lang w:val="en-GB"/>
                    </w:rPr>
                    <w:t>under 14*</w:t>
                  </w:r>
                </w:p>
              </w:tc>
              <w:tc>
                <w:tcPr>
                  <w:tcW w:w="1218" w:type="dxa"/>
                </w:tcPr>
                <w:p w14:paraId="1980486A" w14:textId="3CD517BD" w:rsidR="00C43D5D" w:rsidRDefault="00C43D5D" w:rsidP="00592739">
                  <w:pPr>
                    <w:spacing w:after="60"/>
                    <w:jc w:val="center"/>
                    <w:rPr>
                      <w:lang w:val="en-GB"/>
                    </w:rPr>
                  </w:pPr>
                  <w:r>
                    <w:rPr>
                      <w:lang w:val="en-GB"/>
                    </w:rPr>
                    <w:t>19%</w:t>
                  </w:r>
                </w:p>
              </w:tc>
              <w:tc>
                <w:tcPr>
                  <w:tcW w:w="1218" w:type="dxa"/>
                </w:tcPr>
                <w:p w14:paraId="263CD697" w14:textId="77777777" w:rsidR="00C43D5D" w:rsidRDefault="00C43D5D" w:rsidP="00592739">
                  <w:pPr>
                    <w:spacing w:after="60"/>
                    <w:jc w:val="center"/>
                    <w:rPr>
                      <w:lang w:val="en-GB"/>
                    </w:rPr>
                  </w:pPr>
                  <w:r>
                    <w:rPr>
                      <w:lang w:val="en-GB"/>
                    </w:rPr>
                    <w:t>1%</w:t>
                  </w:r>
                </w:p>
                <w:p w14:paraId="07012B49" w14:textId="77777777" w:rsidR="00C43D5D" w:rsidRPr="004A0CED" w:rsidRDefault="00C43D5D" w:rsidP="00592739">
                  <w:pPr>
                    <w:spacing w:after="60"/>
                    <w:jc w:val="center"/>
                    <w:rPr>
                      <w:sz w:val="21"/>
                      <w:szCs w:val="21"/>
                      <w:lang w:val="en-GB"/>
                    </w:rPr>
                  </w:pPr>
                  <w:r>
                    <w:rPr>
                      <w:sz w:val="21"/>
                      <w:szCs w:val="21"/>
                      <w:lang w:val="en-GB"/>
                    </w:rPr>
                    <w:t>(under 20</w:t>
                  </w:r>
                  <w:r w:rsidRPr="004A0CED">
                    <w:rPr>
                      <w:sz w:val="21"/>
                      <w:szCs w:val="21"/>
                      <w:lang w:val="en-GB"/>
                    </w:rPr>
                    <w:t>)*</w:t>
                  </w:r>
                </w:p>
              </w:tc>
            </w:tr>
          </w:tbl>
          <w:p w14:paraId="52EC9EF8" w14:textId="77777777" w:rsidR="00592739" w:rsidRPr="00032684" w:rsidRDefault="00592739" w:rsidP="00592739">
            <w:pPr>
              <w:spacing w:after="60"/>
              <w:rPr>
                <w:sz w:val="18"/>
                <w:szCs w:val="18"/>
                <w:lang w:val="en-GB"/>
              </w:rPr>
            </w:pPr>
            <w:r w:rsidRPr="00032684">
              <w:rPr>
                <w:sz w:val="18"/>
                <w:szCs w:val="18"/>
                <w:lang w:val="en-GB"/>
              </w:rPr>
              <w:t>* Different age categorisation under ages of 18 between surveys shown in brackets</w:t>
            </w:r>
          </w:p>
          <w:p w14:paraId="5A9B618A" w14:textId="77777777" w:rsidR="00592739" w:rsidRPr="00E35B7A" w:rsidRDefault="00592739" w:rsidP="00592739">
            <w:pPr>
              <w:spacing w:after="60"/>
              <w:rPr>
                <w:sz w:val="10"/>
                <w:szCs w:val="10"/>
                <w:lang w:val="en-GB"/>
              </w:rPr>
            </w:pPr>
          </w:p>
          <w:p w14:paraId="15F9D5FC" w14:textId="77777777" w:rsidR="00592739" w:rsidRDefault="00592739" w:rsidP="00592739">
            <w:pPr>
              <w:spacing w:after="60"/>
              <w:rPr>
                <w:lang w:val="en-GB"/>
              </w:rPr>
            </w:pPr>
            <w:r>
              <w:rPr>
                <w:lang w:val="en-GB"/>
              </w:rPr>
              <w:t>These figures show that those aged 25-34 are under-represented in relation to parks.</w:t>
            </w:r>
          </w:p>
          <w:p w14:paraId="2C92D8C6" w14:textId="77777777" w:rsidR="00592739" w:rsidRDefault="00592739" w:rsidP="00592739">
            <w:pPr>
              <w:spacing w:after="60"/>
              <w:rPr>
                <w:lang w:val="en-GB"/>
              </w:rPr>
            </w:pPr>
            <w:r>
              <w:rPr>
                <w:lang w:val="en-GB"/>
              </w:rPr>
              <w:t>Notwithstanding the minor differences in age categorisation, those aged under 24 are also under-represented in relation to parks.</w:t>
            </w:r>
          </w:p>
          <w:p w14:paraId="039ECEA1" w14:textId="0930FDFF" w:rsidR="00472D5D" w:rsidRPr="00BC0E10" w:rsidRDefault="00592739" w:rsidP="00BC0E10">
            <w:pPr>
              <w:spacing w:after="60"/>
              <w:rPr>
                <w:lang w:val="en-GB"/>
              </w:rPr>
            </w:pPr>
            <w:r>
              <w:rPr>
                <w:lang w:val="en-GB"/>
              </w:rPr>
              <w:t>Those aged 45-54, 55-64 and 65-74 are over-represented in relation to parks.</w:t>
            </w:r>
          </w:p>
        </w:tc>
      </w:tr>
      <w:tr w:rsidR="00472D5D" w14:paraId="09B34634" w14:textId="77777777" w:rsidTr="00167645">
        <w:tc>
          <w:tcPr>
            <w:tcW w:w="2870" w:type="dxa"/>
          </w:tcPr>
          <w:p w14:paraId="34EF8E52" w14:textId="3D0A7A0F" w:rsidR="00472D5D" w:rsidRDefault="00472D5D" w:rsidP="00097418">
            <w:pPr>
              <w:rPr>
                <w:b/>
                <w:lang w:val="en-GB"/>
              </w:rPr>
            </w:pPr>
            <w:r>
              <w:rPr>
                <w:b/>
                <w:lang w:val="en-GB"/>
              </w:rPr>
              <w:t>Disability</w:t>
            </w:r>
          </w:p>
        </w:tc>
        <w:tc>
          <w:tcPr>
            <w:tcW w:w="8188" w:type="dxa"/>
          </w:tcPr>
          <w:p w14:paraId="6533A7A5" w14:textId="28F54232" w:rsidR="00472D5D" w:rsidRPr="00F950D8" w:rsidRDefault="002367C7" w:rsidP="00F950D8">
            <w:pPr>
              <w:spacing w:before="60" w:after="60"/>
              <w:rPr>
                <w:lang w:val="en-GB"/>
              </w:rPr>
            </w:pPr>
            <w:r>
              <w:rPr>
                <w:lang w:val="en-GB"/>
              </w:rPr>
              <w:t xml:space="preserve">The </w:t>
            </w:r>
            <w:r w:rsidR="00905A6A" w:rsidRPr="00625F48">
              <w:rPr>
                <w:lang w:val="en-GB"/>
              </w:rPr>
              <w:t>PCUS (</w:t>
            </w:r>
            <w:r w:rsidR="00905A6A">
              <w:rPr>
                <w:lang w:val="en-GB"/>
              </w:rPr>
              <w:t>6</w:t>
            </w:r>
            <w:r w:rsidR="00905A6A" w:rsidRPr="00625F48">
              <w:rPr>
                <w:lang w:val="en-GB"/>
              </w:rPr>
              <w:t>%) show</w:t>
            </w:r>
            <w:r>
              <w:rPr>
                <w:lang w:val="en-GB"/>
              </w:rPr>
              <w:t>ed</w:t>
            </w:r>
            <w:r w:rsidR="00905A6A" w:rsidRPr="00625F48">
              <w:rPr>
                <w:lang w:val="en-GB"/>
              </w:rPr>
              <w:t xml:space="preserve"> an </w:t>
            </w:r>
            <w:r w:rsidR="003133FC">
              <w:rPr>
                <w:lang w:val="en-GB"/>
              </w:rPr>
              <w:t>unde</w:t>
            </w:r>
            <w:r w:rsidR="00905A6A" w:rsidRPr="00625F48">
              <w:rPr>
                <w:lang w:val="en-GB"/>
              </w:rPr>
              <w:t xml:space="preserve">r-representation of people with a disability – the borough census figure is </w:t>
            </w:r>
            <w:r w:rsidR="00905A6A">
              <w:rPr>
                <w:lang w:val="en-GB"/>
              </w:rPr>
              <w:t>11</w:t>
            </w:r>
            <w:r w:rsidR="00905A6A" w:rsidRPr="00625F48">
              <w:rPr>
                <w:lang w:val="en-GB"/>
              </w:rPr>
              <w:t xml:space="preserve">%. </w:t>
            </w:r>
            <w:r w:rsidR="00905A6A" w:rsidRPr="00B136C6">
              <w:rPr>
                <w:lang w:val="en-GB"/>
              </w:rPr>
              <w:t>In the PCUS survey, 7% respondents considered they had children with a disability.</w:t>
            </w:r>
          </w:p>
        </w:tc>
      </w:tr>
      <w:tr w:rsidR="00472D5D" w14:paraId="7514B994" w14:textId="77777777" w:rsidTr="00167645">
        <w:tc>
          <w:tcPr>
            <w:tcW w:w="2870" w:type="dxa"/>
          </w:tcPr>
          <w:p w14:paraId="3D98E386" w14:textId="328E5DD1" w:rsidR="00472D5D" w:rsidRDefault="00310D57" w:rsidP="00097418">
            <w:pPr>
              <w:rPr>
                <w:b/>
                <w:lang w:val="en-GB"/>
              </w:rPr>
            </w:pPr>
            <w:r>
              <w:rPr>
                <w:b/>
                <w:lang w:val="en-GB"/>
              </w:rPr>
              <w:lastRenderedPageBreak/>
              <w:t>S</w:t>
            </w:r>
            <w:r w:rsidR="00472D5D">
              <w:rPr>
                <w:b/>
                <w:lang w:val="en-GB"/>
              </w:rPr>
              <w:t>ex</w:t>
            </w:r>
          </w:p>
        </w:tc>
        <w:tc>
          <w:tcPr>
            <w:tcW w:w="8188" w:type="dxa"/>
          </w:tcPr>
          <w:p w14:paraId="2D5D7315" w14:textId="207B5497" w:rsidR="00472D5D" w:rsidRPr="002C1B5A" w:rsidRDefault="00D50E0D" w:rsidP="002C1B5A">
            <w:pPr>
              <w:spacing w:before="60" w:after="60"/>
              <w:rPr>
                <w:lang w:val="en-GB"/>
              </w:rPr>
            </w:pPr>
            <w:r w:rsidRPr="00625F48">
              <w:rPr>
                <w:lang w:val="en-GB"/>
              </w:rPr>
              <w:t xml:space="preserve">PCUS data for gender show similarity </w:t>
            </w:r>
            <w:r w:rsidR="00F950D8">
              <w:rPr>
                <w:lang w:val="en-GB"/>
              </w:rPr>
              <w:t>that</w:t>
            </w:r>
            <w:r w:rsidRPr="00625F48">
              <w:rPr>
                <w:lang w:val="en-GB"/>
              </w:rPr>
              <w:t xml:space="preserve"> </w:t>
            </w:r>
            <w:r>
              <w:rPr>
                <w:lang w:val="en-GB"/>
              </w:rPr>
              <w:t>61</w:t>
            </w:r>
            <w:r w:rsidRPr="00625F48">
              <w:rPr>
                <w:lang w:val="en-GB"/>
              </w:rPr>
              <w:t>% respondents being female, and 3</w:t>
            </w:r>
            <w:r>
              <w:rPr>
                <w:lang w:val="en-GB"/>
              </w:rPr>
              <w:t>5</w:t>
            </w:r>
            <w:r w:rsidRPr="00625F48">
              <w:rPr>
                <w:lang w:val="en-GB"/>
              </w:rPr>
              <w:t>% male. This contrasts with borough census figures of 51.</w:t>
            </w:r>
            <w:r w:rsidR="00917089">
              <w:rPr>
                <w:lang w:val="en-GB"/>
              </w:rPr>
              <w:t>9</w:t>
            </w:r>
            <w:r w:rsidRPr="00625F48">
              <w:rPr>
                <w:lang w:val="en-GB"/>
              </w:rPr>
              <w:t>% female and 48.</w:t>
            </w:r>
            <w:r w:rsidR="00917089">
              <w:rPr>
                <w:lang w:val="en-GB"/>
              </w:rPr>
              <w:t>1</w:t>
            </w:r>
            <w:r w:rsidRPr="00625F48">
              <w:rPr>
                <w:lang w:val="en-GB"/>
              </w:rPr>
              <w:t xml:space="preserve">% male. </w:t>
            </w:r>
            <w:r w:rsidR="002C1B5A">
              <w:rPr>
                <w:lang w:val="en-GB"/>
              </w:rPr>
              <w:t>4</w:t>
            </w:r>
            <w:r w:rsidRPr="00625F48">
              <w:rPr>
                <w:lang w:val="en-GB"/>
              </w:rPr>
              <w:t>% preferred not to say in the PCUS</w:t>
            </w:r>
            <w:r w:rsidR="00F950D8">
              <w:rPr>
                <w:lang w:val="en-GB"/>
              </w:rPr>
              <w:t>.</w:t>
            </w:r>
            <w:r w:rsidRPr="00625F48">
              <w:rPr>
                <w:lang w:val="en-GB"/>
              </w:rPr>
              <w:t xml:space="preserve"> </w:t>
            </w:r>
          </w:p>
        </w:tc>
      </w:tr>
      <w:tr w:rsidR="00472D5D" w14:paraId="584AB8CF" w14:textId="77777777" w:rsidTr="00167645">
        <w:tc>
          <w:tcPr>
            <w:tcW w:w="2870" w:type="dxa"/>
          </w:tcPr>
          <w:p w14:paraId="37205183" w14:textId="2A8E194D" w:rsidR="00472D5D" w:rsidRDefault="00472D5D" w:rsidP="00097418">
            <w:pPr>
              <w:rPr>
                <w:b/>
                <w:lang w:val="en-GB"/>
              </w:rPr>
            </w:pPr>
            <w:r>
              <w:rPr>
                <w:b/>
                <w:lang w:val="en-GB"/>
              </w:rPr>
              <w:t>Gender reassignment</w:t>
            </w:r>
          </w:p>
        </w:tc>
        <w:tc>
          <w:tcPr>
            <w:tcW w:w="8188" w:type="dxa"/>
          </w:tcPr>
          <w:p w14:paraId="6DE3D40C" w14:textId="4F41D82F" w:rsidR="00472D5D" w:rsidRPr="00042A0C" w:rsidRDefault="00042A0C" w:rsidP="00097418">
            <w:pPr>
              <w:rPr>
                <w:bCs/>
                <w:lang w:val="en-GB"/>
              </w:rPr>
            </w:pPr>
            <w:r>
              <w:rPr>
                <w:bCs/>
                <w:lang w:val="en-GB"/>
              </w:rPr>
              <w:t xml:space="preserve">The 2021 Census </w:t>
            </w:r>
            <w:r w:rsidR="00395567">
              <w:rPr>
                <w:bCs/>
                <w:lang w:val="en-GB"/>
              </w:rPr>
              <w:t xml:space="preserve">recorded that </w:t>
            </w:r>
            <w:r w:rsidR="00A71728" w:rsidRPr="00A71728">
              <w:rPr>
                <w:bCs/>
              </w:rPr>
              <w:t>93.98</w:t>
            </w:r>
            <w:r w:rsidR="00A71728">
              <w:rPr>
                <w:bCs/>
              </w:rPr>
              <w:t xml:space="preserve">% of the population are the same gender identity </w:t>
            </w:r>
            <w:r w:rsidR="009176B6">
              <w:rPr>
                <w:bCs/>
              </w:rPr>
              <w:t xml:space="preserve">from sec </w:t>
            </w:r>
            <w:r w:rsidR="001D756E">
              <w:rPr>
                <w:bCs/>
              </w:rPr>
              <w:t xml:space="preserve">registered at birth, 0.15% are </w:t>
            </w:r>
            <w:r w:rsidR="009176B6">
              <w:rPr>
                <w:bCs/>
              </w:rPr>
              <w:t>a different gender identity from sex registered at birth</w:t>
            </w:r>
            <w:r w:rsidR="001008FE">
              <w:rPr>
                <w:bCs/>
              </w:rPr>
              <w:t xml:space="preserve">, 0.09% </w:t>
            </w:r>
            <w:r w:rsidR="00962000">
              <w:rPr>
                <w:bCs/>
              </w:rPr>
              <w:t>are trans women, 0.07% are trans men, 0.04% are non-binary</w:t>
            </w:r>
            <w:r w:rsidR="005D0452">
              <w:rPr>
                <w:bCs/>
              </w:rPr>
              <w:t xml:space="preserve">, 0.05% are ‘All other gender identities and </w:t>
            </w:r>
            <w:r w:rsidR="00713957">
              <w:rPr>
                <w:bCs/>
              </w:rPr>
              <w:t xml:space="preserve">5.63% abstained from answering the questions. </w:t>
            </w:r>
            <w:r w:rsidR="00713957" w:rsidRPr="009C304A">
              <w:rPr>
                <w:bCs/>
              </w:rPr>
              <w:t xml:space="preserve">The consultation </w:t>
            </w:r>
            <w:r w:rsidR="00BE714B" w:rsidRPr="009C304A">
              <w:rPr>
                <w:bCs/>
              </w:rPr>
              <w:t>contai</w:t>
            </w:r>
            <w:r w:rsidR="009C304A">
              <w:rPr>
                <w:bCs/>
              </w:rPr>
              <w:t xml:space="preserve">ns </w:t>
            </w:r>
            <w:r w:rsidR="00BE714B" w:rsidRPr="009C304A">
              <w:rPr>
                <w:bCs/>
              </w:rPr>
              <w:t xml:space="preserve">options for free text comments and </w:t>
            </w:r>
            <w:r w:rsidR="00376FE7" w:rsidRPr="009C304A">
              <w:rPr>
                <w:bCs/>
              </w:rPr>
              <w:t>provided options for all gender identities.</w:t>
            </w:r>
            <w:r w:rsidR="00376FE7">
              <w:rPr>
                <w:bCs/>
              </w:rPr>
              <w:t xml:space="preserve"> </w:t>
            </w:r>
          </w:p>
        </w:tc>
      </w:tr>
      <w:tr w:rsidR="00472D5D" w14:paraId="705151EA" w14:textId="77777777" w:rsidTr="00167645">
        <w:tc>
          <w:tcPr>
            <w:tcW w:w="2870" w:type="dxa"/>
          </w:tcPr>
          <w:p w14:paraId="45A0BF21" w14:textId="286D5825" w:rsidR="00472D5D" w:rsidRDefault="00472D5D" w:rsidP="00097418">
            <w:pPr>
              <w:rPr>
                <w:b/>
                <w:lang w:val="en-GB"/>
              </w:rPr>
            </w:pPr>
            <w:r>
              <w:rPr>
                <w:b/>
                <w:lang w:val="en-GB"/>
              </w:rPr>
              <w:t>Marriage and civil partnership</w:t>
            </w:r>
          </w:p>
        </w:tc>
        <w:tc>
          <w:tcPr>
            <w:tcW w:w="8188" w:type="dxa"/>
          </w:tcPr>
          <w:p w14:paraId="42D13E56" w14:textId="498AD6DE" w:rsidR="00472D5D" w:rsidRDefault="00D62558" w:rsidP="00097418">
            <w:pPr>
              <w:rPr>
                <w:b/>
                <w:lang w:val="en-GB"/>
              </w:rPr>
            </w:pPr>
            <w:r>
              <w:rPr>
                <w:lang w:val="en-GB"/>
              </w:rPr>
              <w:t xml:space="preserve">47.3% of people in the borough are married or in a civil partnership. </w:t>
            </w:r>
            <w:r w:rsidR="00326FD8" w:rsidRPr="009C304A">
              <w:rPr>
                <w:lang w:val="en-GB"/>
              </w:rPr>
              <w:t>The consultation contain</w:t>
            </w:r>
            <w:r w:rsidR="009C304A" w:rsidRPr="009C304A">
              <w:rPr>
                <w:lang w:val="en-GB"/>
              </w:rPr>
              <w:t xml:space="preserve">s </w:t>
            </w:r>
            <w:r w:rsidR="00326FD8" w:rsidRPr="009C304A">
              <w:rPr>
                <w:lang w:val="en-GB"/>
              </w:rPr>
              <w:t>options for free text comments.</w:t>
            </w:r>
          </w:p>
        </w:tc>
      </w:tr>
      <w:tr w:rsidR="00472D5D" w14:paraId="5780FB3B" w14:textId="77777777" w:rsidTr="00167645">
        <w:tc>
          <w:tcPr>
            <w:tcW w:w="2870" w:type="dxa"/>
          </w:tcPr>
          <w:p w14:paraId="7AC074B1" w14:textId="05DB4DA0" w:rsidR="00472D5D" w:rsidRDefault="00472D5D" w:rsidP="00097418">
            <w:pPr>
              <w:rPr>
                <w:b/>
                <w:lang w:val="en-GB"/>
              </w:rPr>
            </w:pPr>
            <w:r>
              <w:rPr>
                <w:b/>
                <w:lang w:val="en-GB"/>
              </w:rPr>
              <w:t>Pregnancy and maternity</w:t>
            </w:r>
          </w:p>
        </w:tc>
        <w:tc>
          <w:tcPr>
            <w:tcW w:w="8188" w:type="dxa"/>
          </w:tcPr>
          <w:p w14:paraId="79B8806E" w14:textId="5A00DFD2" w:rsidR="006852F1" w:rsidRDefault="006852F1" w:rsidP="006852F1">
            <w:pPr>
              <w:rPr>
                <w:bCs/>
                <w:lang w:val="en-GB"/>
              </w:rPr>
            </w:pPr>
            <w:r>
              <w:rPr>
                <w:bCs/>
                <w:lang w:val="en-GB"/>
              </w:rPr>
              <w:t>I</w:t>
            </w:r>
            <w:r w:rsidRPr="00032B3A">
              <w:rPr>
                <w:bCs/>
                <w:lang w:val="en-GB"/>
              </w:rPr>
              <w:t>n 20</w:t>
            </w:r>
            <w:r>
              <w:rPr>
                <w:bCs/>
                <w:lang w:val="en-GB"/>
              </w:rPr>
              <w:t>2</w:t>
            </w:r>
            <w:r w:rsidRPr="00032B3A">
              <w:rPr>
                <w:bCs/>
                <w:lang w:val="en-GB"/>
              </w:rPr>
              <w:t xml:space="preserve">1 there were </w:t>
            </w:r>
            <w:r w:rsidR="006108C1" w:rsidRPr="006108C1">
              <w:rPr>
                <w:bCs/>
                <w:lang w:val="en-GB"/>
              </w:rPr>
              <w:t>2,422</w:t>
            </w:r>
            <w:r w:rsidR="006108C1">
              <w:rPr>
                <w:bCs/>
                <w:lang w:val="en-GB"/>
              </w:rPr>
              <w:t xml:space="preserve"> </w:t>
            </w:r>
            <w:r w:rsidRPr="00032B3A">
              <w:rPr>
                <w:bCs/>
                <w:lang w:val="en-GB"/>
              </w:rPr>
              <w:t xml:space="preserve">conceptions in Richmond borough – an annual conception rate of </w:t>
            </w:r>
            <w:r w:rsidR="006108C1">
              <w:rPr>
                <w:bCs/>
                <w:lang w:val="en-GB"/>
              </w:rPr>
              <w:t>6</w:t>
            </w:r>
            <w:r w:rsidRPr="00032B3A">
              <w:rPr>
                <w:bCs/>
                <w:lang w:val="en-GB"/>
              </w:rPr>
              <w:t xml:space="preserve">5 per 1000 </w:t>
            </w:r>
            <w:r w:rsidR="006108C1">
              <w:rPr>
                <w:bCs/>
                <w:lang w:val="en-GB"/>
              </w:rPr>
              <w:t xml:space="preserve">women. </w:t>
            </w:r>
            <w:r w:rsidRPr="00032B3A">
              <w:rPr>
                <w:bCs/>
                <w:lang w:val="en-GB"/>
              </w:rPr>
              <w:t>This is lower than the conception rate for London (</w:t>
            </w:r>
            <w:r w:rsidR="001B0ACD">
              <w:rPr>
                <w:bCs/>
                <w:lang w:val="en-GB"/>
              </w:rPr>
              <w:t>70.8</w:t>
            </w:r>
            <w:r w:rsidRPr="00032B3A">
              <w:rPr>
                <w:bCs/>
                <w:lang w:val="en-GB"/>
              </w:rPr>
              <w:t xml:space="preserve"> per 1000) </w:t>
            </w:r>
            <w:r w:rsidR="001B0ACD">
              <w:rPr>
                <w:bCs/>
                <w:lang w:val="en-GB"/>
              </w:rPr>
              <w:t>and the</w:t>
            </w:r>
            <w:r w:rsidRPr="00032B3A">
              <w:rPr>
                <w:bCs/>
                <w:lang w:val="en-GB"/>
              </w:rPr>
              <w:t xml:space="preserve"> rate for England (</w:t>
            </w:r>
            <w:r w:rsidR="001B0ACD">
              <w:rPr>
                <w:bCs/>
                <w:lang w:val="en-GB"/>
              </w:rPr>
              <w:t xml:space="preserve">71.5 </w:t>
            </w:r>
            <w:r w:rsidRPr="00032B3A">
              <w:rPr>
                <w:bCs/>
                <w:lang w:val="en-GB"/>
              </w:rPr>
              <w:t>per 1000)</w:t>
            </w:r>
            <w:r>
              <w:rPr>
                <w:bCs/>
                <w:lang w:val="en-GB"/>
              </w:rPr>
              <w:t xml:space="preserve"> (</w:t>
            </w:r>
            <w:r w:rsidR="001B0ACD">
              <w:rPr>
                <w:bCs/>
                <w:lang w:val="en-GB"/>
              </w:rPr>
              <w:t>Census, 2021</w:t>
            </w:r>
            <w:r>
              <w:rPr>
                <w:bCs/>
                <w:lang w:val="en-GB"/>
              </w:rPr>
              <w:t>)</w:t>
            </w:r>
          </w:p>
          <w:p w14:paraId="44499FB7" w14:textId="43AD6CF3" w:rsidR="006852F1" w:rsidRPr="009C304A" w:rsidRDefault="009C304A" w:rsidP="00097418">
            <w:pPr>
              <w:rPr>
                <w:lang w:val="en-GB"/>
              </w:rPr>
            </w:pPr>
            <w:r w:rsidRPr="009C304A">
              <w:rPr>
                <w:lang w:val="en-GB"/>
              </w:rPr>
              <w:t xml:space="preserve">The consultation contains options for free text comments. </w:t>
            </w:r>
          </w:p>
        </w:tc>
      </w:tr>
      <w:tr w:rsidR="00472D5D" w14:paraId="75859414" w14:textId="77777777" w:rsidTr="00167645">
        <w:tc>
          <w:tcPr>
            <w:tcW w:w="2870" w:type="dxa"/>
          </w:tcPr>
          <w:p w14:paraId="0A32F8C7" w14:textId="6560D3A0" w:rsidR="00472D5D" w:rsidRDefault="00472D5D" w:rsidP="00097418">
            <w:pPr>
              <w:rPr>
                <w:b/>
                <w:lang w:val="en-GB"/>
              </w:rPr>
            </w:pPr>
            <w:r>
              <w:rPr>
                <w:b/>
                <w:lang w:val="en-GB"/>
              </w:rPr>
              <w:t>Race/ethnicity</w:t>
            </w:r>
          </w:p>
        </w:tc>
        <w:tc>
          <w:tcPr>
            <w:tcW w:w="8188" w:type="dxa"/>
          </w:tcPr>
          <w:p w14:paraId="48A87F45" w14:textId="157BACF1" w:rsidR="00F27C86" w:rsidRPr="00625F48" w:rsidRDefault="00F27C86" w:rsidP="00F27C86">
            <w:pPr>
              <w:spacing w:before="60" w:after="60"/>
              <w:rPr>
                <w:lang w:val="en-GB"/>
              </w:rPr>
            </w:pPr>
            <w:r w:rsidRPr="00625F48">
              <w:rPr>
                <w:lang w:val="en-GB"/>
              </w:rPr>
              <w:t xml:space="preserve">The data suggests that people of Asian minority ethnic communities may be under-represented in terms of parks. Against a census figure of </w:t>
            </w:r>
            <w:r w:rsidR="00E04E29">
              <w:rPr>
                <w:lang w:val="en-GB"/>
              </w:rPr>
              <w:t>9</w:t>
            </w:r>
            <w:r w:rsidRPr="00625F48">
              <w:rPr>
                <w:lang w:val="en-GB"/>
              </w:rPr>
              <w:t>% of population</w:t>
            </w:r>
            <w:r w:rsidR="009C304A">
              <w:rPr>
                <w:lang w:val="en-GB"/>
              </w:rPr>
              <w:t xml:space="preserve"> and</w:t>
            </w:r>
            <w:r w:rsidRPr="00625F48">
              <w:rPr>
                <w:lang w:val="en-GB"/>
              </w:rPr>
              <w:t xml:space="preserve"> </w:t>
            </w:r>
            <w:r w:rsidR="00383ABA">
              <w:rPr>
                <w:lang w:val="en-GB"/>
              </w:rPr>
              <w:t>1</w:t>
            </w:r>
            <w:r w:rsidRPr="00625F48">
              <w:rPr>
                <w:lang w:val="en-GB"/>
              </w:rPr>
              <w:t>% of PCUS</w:t>
            </w:r>
            <w:r w:rsidR="009C304A">
              <w:rPr>
                <w:lang w:val="en-GB"/>
              </w:rPr>
              <w:t xml:space="preserve"> </w:t>
            </w:r>
            <w:r w:rsidRPr="00625F48">
              <w:rPr>
                <w:lang w:val="en-GB"/>
              </w:rPr>
              <w:t>respondents identified themselves as Asian or Asian British.</w:t>
            </w:r>
          </w:p>
          <w:p w14:paraId="607EA4CF" w14:textId="4B995905" w:rsidR="00472D5D" w:rsidRPr="00C422B7" w:rsidRDefault="00F27C86" w:rsidP="00C422B7">
            <w:pPr>
              <w:spacing w:before="60" w:after="60"/>
              <w:rPr>
                <w:lang w:val="en-GB"/>
              </w:rPr>
            </w:pPr>
            <w:r w:rsidRPr="00625F48">
              <w:rPr>
                <w:lang w:val="en-GB"/>
              </w:rPr>
              <w:t xml:space="preserve">People identifying themselves as black made up 1% of census returns and </w:t>
            </w:r>
            <w:r w:rsidR="00A56880">
              <w:rPr>
                <w:lang w:val="en-GB"/>
              </w:rPr>
              <w:t>1</w:t>
            </w:r>
            <w:r w:rsidRPr="00625F48">
              <w:rPr>
                <w:lang w:val="en-GB"/>
              </w:rPr>
              <w:t xml:space="preserve">% of PCUS. People identifying themselves as of mixed ethnic groups made up </w:t>
            </w:r>
            <w:r w:rsidR="00732E7A">
              <w:rPr>
                <w:lang w:val="en-GB"/>
              </w:rPr>
              <w:t>5</w:t>
            </w:r>
            <w:r w:rsidRPr="00625F48">
              <w:rPr>
                <w:lang w:val="en-GB"/>
              </w:rPr>
              <w:t>% of the population in the census against</w:t>
            </w:r>
            <w:r w:rsidR="00732E7A">
              <w:rPr>
                <w:lang w:val="en-GB"/>
              </w:rPr>
              <w:t xml:space="preserve"> 3</w:t>
            </w:r>
            <w:r w:rsidRPr="00625F48">
              <w:rPr>
                <w:lang w:val="en-GB"/>
              </w:rPr>
              <w:t xml:space="preserve">% of PCUS </w:t>
            </w:r>
            <w:r w:rsidRPr="00C422B7">
              <w:rPr>
                <w:lang w:val="en-GB"/>
              </w:rPr>
              <w:t>respondents.</w:t>
            </w:r>
            <w:r w:rsidRPr="00625F48">
              <w:rPr>
                <w:lang w:val="en-GB"/>
              </w:rPr>
              <w:t xml:space="preserve"> Other ethnic groups made up </w:t>
            </w:r>
            <w:r w:rsidR="005979C7">
              <w:rPr>
                <w:lang w:val="en-GB"/>
              </w:rPr>
              <w:t>3</w:t>
            </w:r>
            <w:r w:rsidRPr="00625F48">
              <w:rPr>
                <w:lang w:val="en-GB"/>
              </w:rPr>
              <w:t xml:space="preserve">% of the population in the census, against </w:t>
            </w:r>
            <w:r w:rsidR="002273CD">
              <w:rPr>
                <w:lang w:val="en-GB"/>
              </w:rPr>
              <w:t>2</w:t>
            </w:r>
            <w:r w:rsidRPr="00625F48">
              <w:rPr>
                <w:lang w:val="en-GB"/>
              </w:rPr>
              <w:t>% of PCUS</w:t>
            </w:r>
            <w:r w:rsidR="00C422B7">
              <w:rPr>
                <w:lang w:val="en-GB"/>
              </w:rPr>
              <w:t>.</w:t>
            </w:r>
          </w:p>
        </w:tc>
      </w:tr>
      <w:tr w:rsidR="00472D5D" w14:paraId="5B5F5416" w14:textId="77777777" w:rsidTr="00167645">
        <w:tc>
          <w:tcPr>
            <w:tcW w:w="2870" w:type="dxa"/>
          </w:tcPr>
          <w:p w14:paraId="208EBF46" w14:textId="75E592F5" w:rsidR="00472D5D" w:rsidRDefault="00472D5D" w:rsidP="00097418">
            <w:pPr>
              <w:rPr>
                <w:b/>
                <w:lang w:val="en-GB"/>
              </w:rPr>
            </w:pPr>
            <w:r>
              <w:rPr>
                <w:b/>
                <w:lang w:val="en-GB"/>
              </w:rPr>
              <w:t xml:space="preserve">Religion and belief, including </w:t>
            </w:r>
            <w:proofErr w:type="spellStart"/>
            <w:r>
              <w:rPr>
                <w:b/>
                <w:lang w:val="en-GB"/>
              </w:rPr>
              <w:t>non belief</w:t>
            </w:r>
            <w:proofErr w:type="spellEnd"/>
          </w:p>
        </w:tc>
        <w:tc>
          <w:tcPr>
            <w:tcW w:w="8188" w:type="dxa"/>
          </w:tcPr>
          <w:p w14:paraId="1F4CAB96" w14:textId="550AF6EA" w:rsidR="00472D5D" w:rsidRPr="00F04C04" w:rsidRDefault="006A4F6B" w:rsidP="00F04C04">
            <w:pPr>
              <w:spacing w:before="60" w:after="60"/>
            </w:pPr>
            <w:r w:rsidRPr="00625F48">
              <w:t>In 20</w:t>
            </w:r>
            <w:r w:rsidR="008B05C7">
              <w:t>2</w:t>
            </w:r>
            <w:r w:rsidRPr="00625F48">
              <w:t xml:space="preserve">1, just </w:t>
            </w:r>
            <w:r w:rsidR="00F04C04">
              <w:t>under</w:t>
            </w:r>
            <w:r w:rsidRPr="00625F48">
              <w:t xml:space="preserve"> half of residents identified themselves to be of Christian faith (</w:t>
            </w:r>
            <w:r w:rsidR="007D7E87">
              <w:t>45</w:t>
            </w:r>
            <w:r w:rsidR="009F647E">
              <w:t>.3</w:t>
            </w:r>
            <w:r w:rsidRPr="00625F48">
              <w:t>%).</w:t>
            </w:r>
            <w:r w:rsidR="00F04C04">
              <w:t xml:space="preserve"> </w:t>
            </w:r>
            <w:r w:rsidRPr="00625F48">
              <w:t>Relatively small minorities of residents in the borough identify as Muslim (</w:t>
            </w:r>
            <w:r w:rsidR="00495728">
              <w:t>4</w:t>
            </w:r>
            <w:r w:rsidR="009F647E">
              <w:t>.3</w:t>
            </w:r>
            <w:r w:rsidRPr="00625F48">
              <w:t>%), Hindu (</w:t>
            </w:r>
            <w:r w:rsidR="00495728">
              <w:t>2</w:t>
            </w:r>
            <w:r w:rsidR="005E28D4">
              <w:t>.1</w:t>
            </w:r>
            <w:r w:rsidRPr="00625F48">
              <w:t>%), Sikh (</w:t>
            </w:r>
            <w:r w:rsidR="00495728">
              <w:t>1</w:t>
            </w:r>
            <w:r w:rsidRPr="00625F48">
              <w:t>%), Buddhist (0.8%) or Jewish (0.</w:t>
            </w:r>
            <w:r w:rsidR="009D7CD6">
              <w:t>6</w:t>
            </w:r>
            <w:r w:rsidRPr="00625F48">
              <w:t xml:space="preserve">%), whilst </w:t>
            </w:r>
            <w:r w:rsidR="002B763C">
              <w:t>37.9%</w:t>
            </w:r>
            <w:r w:rsidRPr="00625F48">
              <w:t xml:space="preserve"> of the population of the borough reported that they hold no religious belief.</w:t>
            </w:r>
          </w:p>
        </w:tc>
      </w:tr>
      <w:tr w:rsidR="00472D5D" w14:paraId="6675BFBF" w14:textId="77777777" w:rsidTr="00167645">
        <w:tc>
          <w:tcPr>
            <w:tcW w:w="2870" w:type="dxa"/>
          </w:tcPr>
          <w:p w14:paraId="5065C05A" w14:textId="4E49E49E" w:rsidR="00472D5D" w:rsidRDefault="00472D5D" w:rsidP="00097418">
            <w:pPr>
              <w:rPr>
                <w:b/>
                <w:lang w:val="en-GB"/>
              </w:rPr>
            </w:pPr>
            <w:r>
              <w:rPr>
                <w:b/>
                <w:lang w:val="en-GB"/>
              </w:rPr>
              <w:t>Sexual orientation</w:t>
            </w:r>
          </w:p>
        </w:tc>
        <w:tc>
          <w:tcPr>
            <w:tcW w:w="8188" w:type="dxa"/>
          </w:tcPr>
          <w:p w14:paraId="703CA0BF" w14:textId="70879E22" w:rsidR="00737D6B" w:rsidRPr="00625F48" w:rsidRDefault="0004255C" w:rsidP="0004255C">
            <w:pPr>
              <w:spacing w:before="60" w:after="60"/>
            </w:pPr>
            <w:r w:rsidRPr="00625F48">
              <w:t xml:space="preserve">In </w:t>
            </w:r>
            <w:r w:rsidR="00003F16">
              <w:t>2021 Census the</w:t>
            </w:r>
            <w:r w:rsidRPr="00625F48">
              <w:t xml:space="preserve"> population of London had the largest percentage who identified themselves as lesbian, gay or bisexual (LGB) at </w:t>
            </w:r>
            <w:r w:rsidR="00164997">
              <w:t>3</w:t>
            </w:r>
            <w:r w:rsidRPr="00625F48">
              <w:t>.8%. Other higher figures such as 10% are sometimes quoted however an exact figure is difficult to source due to the sensitivity of the subject area and the variety of definitions used.</w:t>
            </w:r>
            <w:r w:rsidR="00317FB7">
              <w:t xml:space="preserve"> </w:t>
            </w:r>
            <w:r w:rsidR="00737D6B">
              <w:t>In the 2021 Census</w:t>
            </w:r>
            <w:r w:rsidR="00E365FF">
              <w:t xml:space="preserve"> for Richmond</w:t>
            </w:r>
            <w:r w:rsidR="00737D6B">
              <w:t xml:space="preserve">, </w:t>
            </w:r>
            <w:r w:rsidR="00E365FF">
              <w:t xml:space="preserve">89% were recorded as straight/heterosexual, </w:t>
            </w:r>
            <w:r w:rsidR="00601770">
              <w:t>1.9</w:t>
            </w:r>
            <w:r w:rsidR="00E365FF">
              <w:t>% gay or lesbian, 1</w:t>
            </w:r>
            <w:r w:rsidR="00601770">
              <w:t>.2</w:t>
            </w:r>
            <w:r w:rsidR="00E365FF">
              <w:t xml:space="preserve">% bisexual </w:t>
            </w:r>
            <w:r w:rsidR="0040495E">
              <w:t>0.3% as ‘all other sexual orientations</w:t>
            </w:r>
            <w:r w:rsidR="00601770">
              <w:t xml:space="preserve">’ and </w:t>
            </w:r>
            <w:r w:rsidR="00D00CD6">
              <w:t xml:space="preserve">7.6% did not answer. </w:t>
            </w:r>
          </w:p>
          <w:p w14:paraId="5DFA4D56" w14:textId="22972079" w:rsidR="00472D5D" w:rsidRDefault="0004255C" w:rsidP="0004255C">
            <w:pPr>
              <w:rPr>
                <w:b/>
                <w:lang w:val="en-GB"/>
              </w:rPr>
            </w:pPr>
            <w:r w:rsidRPr="00625F48">
              <w:t>The 202</w:t>
            </w:r>
            <w:r w:rsidR="00317FB7">
              <w:t xml:space="preserve">3 </w:t>
            </w:r>
            <w:r w:rsidRPr="00625F48">
              <w:t xml:space="preserve">consultation contained options for free text comments including on impacts on protected groups. </w:t>
            </w:r>
          </w:p>
        </w:tc>
      </w:tr>
      <w:tr w:rsidR="00472D5D" w14:paraId="6B54BBB7" w14:textId="77777777" w:rsidTr="00167645">
        <w:trPr>
          <w:trHeight w:val="241"/>
        </w:trPr>
        <w:tc>
          <w:tcPr>
            <w:tcW w:w="2870" w:type="dxa"/>
          </w:tcPr>
          <w:p w14:paraId="153A050E" w14:textId="0F32EDE1" w:rsidR="00472D5D" w:rsidRDefault="00472D5D" w:rsidP="00097418">
            <w:pPr>
              <w:rPr>
                <w:b/>
                <w:lang w:val="en-GB"/>
              </w:rPr>
            </w:pPr>
            <w:r>
              <w:rPr>
                <w:b/>
                <w:lang w:val="en-GB"/>
              </w:rPr>
              <w:t xml:space="preserve">Across groups </w:t>
            </w:r>
            <w:proofErr w:type="spellStart"/>
            <w:r>
              <w:rPr>
                <w:b/>
                <w:lang w:val="en-GB"/>
              </w:rPr>
              <w:t>i.e</w:t>
            </w:r>
            <w:proofErr w:type="spellEnd"/>
            <w:r>
              <w:rPr>
                <w:b/>
                <w:lang w:val="en-GB"/>
              </w:rPr>
              <w:t xml:space="preserve"> older LGBT service users or </w:t>
            </w:r>
            <w:r w:rsidR="00354E7B">
              <w:rPr>
                <w:b/>
                <w:lang w:val="en-GB"/>
              </w:rPr>
              <w:t>Black</w:t>
            </w:r>
            <w:r w:rsidR="00BB258D">
              <w:rPr>
                <w:b/>
                <w:lang w:val="en-GB"/>
              </w:rPr>
              <w:t>, Asian</w:t>
            </w:r>
            <w:r w:rsidR="00E62C89">
              <w:rPr>
                <w:b/>
                <w:lang w:val="en-GB"/>
              </w:rPr>
              <w:t xml:space="preserve"> &amp; </w:t>
            </w:r>
            <w:r w:rsidR="00354E7B">
              <w:rPr>
                <w:b/>
                <w:lang w:val="en-GB"/>
              </w:rPr>
              <w:t xml:space="preserve">Minority Ethnic </w:t>
            </w:r>
            <w:r>
              <w:rPr>
                <w:b/>
                <w:lang w:val="en-GB"/>
              </w:rPr>
              <w:t>young men</w:t>
            </w:r>
            <w:r w:rsidR="00E62C89">
              <w:rPr>
                <w:b/>
                <w:lang w:val="en-GB"/>
              </w:rPr>
              <w:t>.</w:t>
            </w:r>
          </w:p>
        </w:tc>
        <w:tc>
          <w:tcPr>
            <w:tcW w:w="8188" w:type="dxa"/>
          </w:tcPr>
          <w:p w14:paraId="5DFDC3FD" w14:textId="0ABA2BE2" w:rsidR="00472D5D" w:rsidRDefault="00AC4D76" w:rsidP="00097418">
            <w:pPr>
              <w:rPr>
                <w:b/>
                <w:lang w:val="en-GB"/>
              </w:rPr>
            </w:pPr>
            <w:r>
              <w:rPr>
                <w:lang w:val="en-GB"/>
              </w:rPr>
              <w:t>There is no service data to determine any findings across groups. No user feedback has identified an impact.</w:t>
            </w:r>
          </w:p>
        </w:tc>
      </w:tr>
      <w:tr w:rsidR="00EC1397" w14:paraId="0F86535D" w14:textId="77777777" w:rsidTr="00167645">
        <w:trPr>
          <w:trHeight w:val="241"/>
        </w:trPr>
        <w:tc>
          <w:tcPr>
            <w:tcW w:w="2870" w:type="dxa"/>
          </w:tcPr>
          <w:p w14:paraId="7027FC8D" w14:textId="77777777" w:rsidR="00726F6A" w:rsidRDefault="00726F6A" w:rsidP="00726F6A">
            <w:pPr>
              <w:rPr>
                <w:b/>
                <w:lang w:val="en-GB"/>
              </w:rPr>
            </w:pPr>
            <w:r>
              <w:rPr>
                <w:b/>
                <w:lang w:val="en-GB"/>
              </w:rPr>
              <w:t>Socio-economic status</w:t>
            </w:r>
          </w:p>
          <w:p w14:paraId="49108FE7" w14:textId="77777777" w:rsidR="00726F6A" w:rsidRDefault="00726F6A" w:rsidP="00726F6A">
            <w:pPr>
              <w:rPr>
                <w:b/>
                <w:lang w:val="en-GB"/>
              </w:rPr>
            </w:pPr>
            <w:r>
              <w:rPr>
                <w:b/>
                <w:lang w:val="en-GB"/>
              </w:rPr>
              <w:t xml:space="preserve">(to be treated as a protected characteristic under Section 1 of the Equality Act 2010) </w:t>
            </w:r>
          </w:p>
          <w:p w14:paraId="1B6D734D" w14:textId="77777777" w:rsidR="00726F6A" w:rsidRDefault="00726F6A" w:rsidP="00726F6A">
            <w:pPr>
              <w:rPr>
                <w:b/>
                <w:lang w:val="en-GB"/>
              </w:rPr>
            </w:pPr>
            <w:r>
              <w:rPr>
                <w:b/>
                <w:lang w:val="en-GB"/>
              </w:rPr>
              <w:lastRenderedPageBreak/>
              <w:t>Include the following groups:</w:t>
            </w:r>
          </w:p>
          <w:p w14:paraId="50ED1768" w14:textId="77777777" w:rsidR="00726F6A" w:rsidRPr="004F74B4" w:rsidRDefault="00726F6A" w:rsidP="00726F6A">
            <w:pPr>
              <w:pStyle w:val="ListParagraph"/>
              <w:numPr>
                <w:ilvl w:val="0"/>
                <w:numId w:val="8"/>
              </w:numPr>
              <w:ind w:left="417"/>
              <w:rPr>
                <w:b/>
                <w:lang w:val="en-GB"/>
              </w:rPr>
            </w:pPr>
            <w:r w:rsidRPr="004F74B4">
              <w:rPr>
                <w:b/>
                <w:lang w:val="en-GB"/>
              </w:rPr>
              <w:t>Deprivation (measured by the 2019 English Indices of Deprivation)</w:t>
            </w:r>
          </w:p>
          <w:p w14:paraId="32A7C0BB" w14:textId="77777777" w:rsidR="00726F6A" w:rsidRPr="004F74B4" w:rsidRDefault="00726F6A" w:rsidP="00726F6A">
            <w:pPr>
              <w:pStyle w:val="ListParagraph"/>
              <w:numPr>
                <w:ilvl w:val="0"/>
                <w:numId w:val="8"/>
              </w:numPr>
              <w:ind w:left="417"/>
              <w:rPr>
                <w:b/>
                <w:lang w:val="en-GB"/>
              </w:rPr>
            </w:pPr>
            <w:r w:rsidRPr="004F74B4">
              <w:rPr>
                <w:b/>
                <w:lang w:val="en-GB"/>
              </w:rPr>
              <w:t xml:space="preserve">Low-income groups &amp; employment </w:t>
            </w:r>
          </w:p>
          <w:p w14:paraId="68999881" w14:textId="77777777" w:rsidR="00726F6A" w:rsidRPr="004F74B4" w:rsidRDefault="00726F6A" w:rsidP="00726F6A">
            <w:pPr>
              <w:pStyle w:val="ListParagraph"/>
              <w:numPr>
                <w:ilvl w:val="0"/>
                <w:numId w:val="8"/>
              </w:numPr>
              <w:ind w:left="417"/>
              <w:rPr>
                <w:b/>
                <w:lang w:val="en-GB"/>
              </w:rPr>
            </w:pPr>
            <w:r w:rsidRPr="004F74B4">
              <w:rPr>
                <w:b/>
                <w:lang w:val="en-GB"/>
              </w:rPr>
              <w:t>Carers</w:t>
            </w:r>
          </w:p>
          <w:p w14:paraId="677C6D25" w14:textId="77777777" w:rsidR="00726F6A" w:rsidRPr="004F74B4" w:rsidRDefault="00726F6A" w:rsidP="00726F6A">
            <w:pPr>
              <w:pStyle w:val="ListParagraph"/>
              <w:numPr>
                <w:ilvl w:val="0"/>
                <w:numId w:val="8"/>
              </w:numPr>
              <w:ind w:left="417"/>
              <w:rPr>
                <w:b/>
                <w:lang w:val="en-GB"/>
              </w:rPr>
            </w:pPr>
            <w:r w:rsidRPr="004F74B4">
              <w:rPr>
                <w:b/>
                <w:lang w:val="en-GB"/>
              </w:rPr>
              <w:t>Care experienced people</w:t>
            </w:r>
          </w:p>
          <w:p w14:paraId="2B740DF1" w14:textId="77777777" w:rsidR="00726F6A" w:rsidRPr="004F74B4" w:rsidRDefault="00726F6A" w:rsidP="00726F6A">
            <w:pPr>
              <w:pStyle w:val="ListParagraph"/>
              <w:numPr>
                <w:ilvl w:val="0"/>
                <w:numId w:val="8"/>
              </w:numPr>
              <w:ind w:left="417"/>
              <w:rPr>
                <w:b/>
                <w:lang w:val="en-GB"/>
              </w:rPr>
            </w:pPr>
            <w:r w:rsidRPr="004F74B4">
              <w:rPr>
                <w:b/>
                <w:lang w:val="en-GB"/>
              </w:rPr>
              <w:t>Single parents</w:t>
            </w:r>
          </w:p>
          <w:p w14:paraId="1E47A6CD" w14:textId="77777777" w:rsidR="00726F6A" w:rsidRPr="004F74B4" w:rsidRDefault="00726F6A" w:rsidP="00726F6A">
            <w:pPr>
              <w:pStyle w:val="ListParagraph"/>
              <w:numPr>
                <w:ilvl w:val="0"/>
                <w:numId w:val="8"/>
              </w:numPr>
              <w:ind w:left="417"/>
              <w:rPr>
                <w:b/>
                <w:lang w:val="en-GB"/>
              </w:rPr>
            </w:pPr>
            <w:r w:rsidRPr="004F74B4">
              <w:rPr>
                <w:b/>
                <w:lang w:val="en-GB"/>
              </w:rPr>
              <w:t xml:space="preserve">Health inequalities </w:t>
            </w:r>
          </w:p>
          <w:p w14:paraId="74523B1D" w14:textId="3DD6CE8E" w:rsidR="00EC1397" w:rsidRPr="00726F6A" w:rsidRDefault="00726F6A" w:rsidP="00726F6A">
            <w:pPr>
              <w:pStyle w:val="ListParagraph"/>
              <w:numPr>
                <w:ilvl w:val="0"/>
                <w:numId w:val="8"/>
              </w:numPr>
              <w:ind w:left="417"/>
              <w:rPr>
                <w:b/>
                <w:lang w:val="en-GB"/>
              </w:rPr>
            </w:pPr>
            <w:r w:rsidRPr="00726F6A">
              <w:rPr>
                <w:b/>
                <w:lang w:val="en-GB"/>
              </w:rPr>
              <w:t>Refugee status</w:t>
            </w:r>
          </w:p>
        </w:tc>
        <w:tc>
          <w:tcPr>
            <w:tcW w:w="8188" w:type="dxa"/>
          </w:tcPr>
          <w:p w14:paraId="19A2D3BA" w14:textId="77777777" w:rsidR="00D050D6" w:rsidRPr="00F638D8" w:rsidRDefault="00D050D6" w:rsidP="00097418">
            <w:pPr>
              <w:rPr>
                <w:b/>
                <w:lang w:val="en-GB"/>
              </w:rPr>
            </w:pPr>
            <w:r w:rsidRPr="00F638D8">
              <w:rPr>
                <w:b/>
                <w:lang w:val="en-GB"/>
              </w:rPr>
              <w:lastRenderedPageBreak/>
              <w:t>Deprivation:</w:t>
            </w:r>
          </w:p>
          <w:p w14:paraId="3DEFD693" w14:textId="7ED7484B" w:rsidR="00D050D6" w:rsidRDefault="00D050D6" w:rsidP="00097418">
            <w:pPr>
              <w:rPr>
                <w:bCs/>
                <w:lang w:val="en-GB"/>
              </w:rPr>
            </w:pPr>
            <w:r>
              <w:rPr>
                <w:bCs/>
                <w:lang w:val="en-GB"/>
              </w:rPr>
              <w:t>Low Income groups &amp; employment:</w:t>
            </w:r>
            <w:r w:rsidR="00E457EB">
              <w:rPr>
                <w:bCs/>
                <w:lang w:val="en-GB"/>
              </w:rPr>
              <w:t xml:space="preserve"> 6.2%</w:t>
            </w:r>
            <w:r w:rsidR="00363F9B">
              <w:rPr>
                <w:bCs/>
                <w:lang w:val="en-GB"/>
              </w:rPr>
              <w:t xml:space="preserve"> </w:t>
            </w:r>
            <w:r w:rsidR="00E457EB">
              <w:rPr>
                <w:bCs/>
                <w:lang w:val="en-GB"/>
              </w:rPr>
              <w:t xml:space="preserve">of </w:t>
            </w:r>
            <w:r w:rsidR="00363F9B">
              <w:rPr>
                <w:bCs/>
                <w:lang w:val="en-GB"/>
              </w:rPr>
              <w:t xml:space="preserve">children </w:t>
            </w:r>
            <w:r w:rsidR="00E457EB">
              <w:rPr>
                <w:bCs/>
                <w:lang w:val="en-GB"/>
              </w:rPr>
              <w:t xml:space="preserve">in Richmond </w:t>
            </w:r>
            <w:r w:rsidR="00363F9B">
              <w:rPr>
                <w:bCs/>
                <w:lang w:val="en-GB"/>
              </w:rPr>
              <w:t>living in relative low income in 2020/21 (DataRich)</w:t>
            </w:r>
            <w:r w:rsidR="00E457EB">
              <w:rPr>
                <w:bCs/>
                <w:lang w:val="en-GB"/>
              </w:rPr>
              <w:t xml:space="preserve"> compared </w:t>
            </w:r>
            <w:proofErr w:type="spellStart"/>
            <w:r w:rsidR="00E457EB">
              <w:rPr>
                <w:bCs/>
                <w:lang w:val="en-GB"/>
              </w:rPr>
              <w:t>o</w:t>
            </w:r>
            <w:proofErr w:type="spellEnd"/>
            <w:r w:rsidR="00E457EB">
              <w:rPr>
                <w:bCs/>
                <w:lang w:val="en-GB"/>
              </w:rPr>
              <w:t xml:space="preserve"> 16.6% in London. </w:t>
            </w:r>
          </w:p>
          <w:p w14:paraId="7E7DD5D3" w14:textId="77777777" w:rsidR="00D050D6" w:rsidRDefault="00D050D6" w:rsidP="00097418">
            <w:pPr>
              <w:rPr>
                <w:bCs/>
                <w:lang w:val="en-GB"/>
              </w:rPr>
            </w:pPr>
          </w:p>
          <w:p w14:paraId="7A01975A" w14:textId="5E8940A5" w:rsidR="00D050D6" w:rsidRPr="00F638D8" w:rsidRDefault="00D050D6" w:rsidP="00097418">
            <w:pPr>
              <w:rPr>
                <w:b/>
                <w:lang w:val="en-GB"/>
              </w:rPr>
            </w:pPr>
            <w:r w:rsidRPr="00F638D8">
              <w:rPr>
                <w:b/>
                <w:lang w:val="en-GB"/>
              </w:rPr>
              <w:t>Care</w:t>
            </w:r>
            <w:r w:rsidR="004009B1">
              <w:rPr>
                <w:b/>
                <w:lang w:val="en-GB"/>
              </w:rPr>
              <w:t>rs:</w:t>
            </w:r>
          </w:p>
          <w:p w14:paraId="73E66D93" w14:textId="77777777" w:rsidR="00EC1397" w:rsidRDefault="004E27B7" w:rsidP="00097418">
            <w:pPr>
              <w:rPr>
                <w:bCs/>
                <w:lang w:val="en-GB"/>
              </w:rPr>
            </w:pPr>
            <w:r w:rsidRPr="00D050D6">
              <w:rPr>
                <w:bCs/>
                <w:lang w:val="en-GB"/>
              </w:rPr>
              <w:lastRenderedPageBreak/>
              <w:t>In the 2021 census</w:t>
            </w:r>
            <w:r w:rsidR="0019145B" w:rsidRPr="00D050D6">
              <w:rPr>
                <w:bCs/>
                <w:lang w:val="en-GB"/>
              </w:rPr>
              <w:t xml:space="preserve">, </w:t>
            </w:r>
            <w:r w:rsidR="00D050D6" w:rsidRPr="00D050D6">
              <w:rPr>
                <w:bCs/>
                <w:lang w:val="en-GB"/>
              </w:rPr>
              <w:t xml:space="preserve">3.4% of the population in Richmond </w:t>
            </w:r>
            <w:r w:rsidR="00D050D6">
              <w:rPr>
                <w:bCs/>
                <w:lang w:val="en-GB"/>
              </w:rPr>
              <w:t xml:space="preserve">did </w:t>
            </w:r>
            <w:r w:rsidR="00D050D6" w:rsidRPr="00D050D6">
              <w:rPr>
                <w:bCs/>
                <w:lang w:val="en-GB"/>
              </w:rPr>
              <w:t xml:space="preserve">9 hours of unpaid care </w:t>
            </w:r>
            <w:r w:rsidR="00D050D6">
              <w:rPr>
                <w:bCs/>
                <w:lang w:val="en-GB"/>
              </w:rPr>
              <w:t xml:space="preserve">work </w:t>
            </w:r>
            <w:r w:rsidR="004E180C">
              <w:rPr>
                <w:bCs/>
                <w:lang w:val="en-GB"/>
              </w:rPr>
              <w:t>which is higher than the that of London at 2.6%. This was on par for</w:t>
            </w:r>
            <w:r w:rsidR="00B24E09">
              <w:rPr>
                <w:bCs/>
                <w:lang w:val="en-GB"/>
              </w:rPr>
              <w:t xml:space="preserve"> 10-19 hours at 1% for Richmond and London. It was lower </w:t>
            </w:r>
            <w:r w:rsidR="002E620E">
              <w:rPr>
                <w:bCs/>
                <w:lang w:val="en-GB"/>
              </w:rPr>
              <w:t>for 20-34, 35 to 49 and 50 or more</w:t>
            </w:r>
            <w:r w:rsidR="004B5127">
              <w:rPr>
                <w:bCs/>
                <w:lang w:val="en-GB"/>
              </w:rPr>
              <w:t xml:space="preserve"> at 0.5% and 0.8%, 0.6% and 0.9% and 1.6% and 2% respectively.</w:t>
            </w:r>
          </w:p>
          <w:p w14:paraId="5C77F0DE" w14:textId="77777777" w:rsidR="004009B1" w:rsidRDefault="004009B1" w:rsidP="00097418">
            <w:pPr>
              <w:rPr>
                <w:bCs/>
                <w:lang w:val="en-GB"/>
              </w:rPr>
            </w:pPr>
          </w:p>
          <w:p w14:paraId="09D54168" w14:textId="7CDF1B97" w:rsidR="004009B1" w:rsidRPr="004009B1" w:rsidRDefault="004009B1" w:rsidP="00097418">
            <w:pPr>
              <w:rPr>
                <w:b/>
                <w:lang w:val="en-GB"/>
              </w:rPr>
            </w:pPr>
            <w:r w:rsidRPr="004009B1">
              <w:rPr>
                <w:b/>
                <w:lang w:val="en-GB"/>
              </w:rPr>
              <w:t>Care Experienced People:</w:t>
            </w:r>
          </w:p>
          <w:p w14:paraId="43398C53" w14:textId="77777777" w:rsidR="00AC14C2" w:rsidRDefault="00AC14C2" w:rsidP="00AC14C2">
            <w:r>
              <w:rPr>
                <w:color w:val="000000"/>
              </w:rPr>
              <w:t>Richmond Children and Young People’s Needs Assessment 2019 - The 2019 Children and Young People’s Needs Assessment reported that in 2018, Richmond had 105 Children Looked After compared to 5,630 in Outer London and 75,420 in England.</w:t>
            </w:r>
          </w:p>
          <w:p w14:paraId="1B5A8B56" w14:textId="77777777" w:rsidR="00912E19" w:rsidRDefault="00912E19" w:rsidP="00097418">
            <w:pPr>
              <w:rPr>
                <w:bCs/>
                <w:lang w:val="en-GB"/>
              </w:rPr>
            </w:pPr>
          </w:p>
          <w:p w14:paraId="5B843EC1" w14:textId="77777777" w:rsidR="00912E19" w:rsidRPr="003D12DD" w:rsidRDefault="00912E19" w:rsidP="00097418">
            <w:pPr>
              <w:rPr>
                <w:b/>
                <w:lang w:val="en-GB"/>
              </w:rPr>
            </w:pPr>
            <w:r w:rsidRPr="003D12DD">
              <w:rPr>
                <w:b/>
                <w:lang w:val="en-GB"/>
              </w:rPr>
              <w:t>Single Parents:</w:t>
            </w:r>
          </w:p>
          <w:p w14:paraId="263EAFCE" w14:textId="77777777" w:rsidR="003D12DD" w:rsidRDefault="005B20B5" w:rsidP="00097418">
            <w:pPr>
              <w:rPr>
                <w:bCs/>
                <w:lang w:val="en-GB"/>
              </w:rPr>
            </w:pPr>
            <w:r>
              <w:rPr>
                <w:bCs/>
                <w:lang w:val="en-GB"/>
              </w:rPr>
              <w:t>The 2021 census dat</w:t>
            </w:r>
            <w:r w:rsidR="00303856">
              <w:rPr>
                <w:bCs/>
                <w:lang w:val="en-GB"/>
              </w:rPr>
              <w:t>a found that 8.8% of children live in a single parent household</w:t>
            </w:r>
            <w:r w:rsidR="003D12DD">
              <w:rPr>
                <w:bCs/>
                <w:lang w:val="en-GB"/>
              </w:rPr>
              <w:t xml:space="preserve"> in comparison to 13.3% across London.</w:t>
            </w:r>
          </w:p>
          <w:p w14:paraId="52145373" w14:textId="77777777" w:rsidR="003D12DD" w:rsidRDefault="003D12DD" w:rsidP="00097418">
            <w:pPr>
              <w:rPr>
                <w:bCs/>
                <w:lang w:val="en-GB"/>
              </w:rPr>
            </w:pPr>
          </w:p>
          <w:p w14:paraId="3840BDC6" w14:textId="77777777" w:rsidR="003D12DD" w:rsidRPr="00E76672" w:rsidRDefault="003D12DD" w:rsidP="00097418">
            <w:pPr>
              <w:rPr>
                <w:b/>
                <w:lang w:val="en-GB"/>
              </w:rPr>
            </w:pPr>
            <w:r w:rsidRPr="00E76672">
              <w:rPr>
                <w:b/>
                <w:lang w:val="en-GB"/>
              </w:rPr>
              <w:t>Health inequalities:</w:t>
            </w:r>
          </w:p>
          <w:p w14:paraId="752272BF" w14:textId="77777777" w:rsidR="003D12DD" w:rsidRDefault="00175AD4" w:rsidP="00097418">
            <w:pPr>
              <w:rPr>
                <w:bCs/>
                <w:lang w:val="en-GB"/>
              </w:rPr>
            </w:pPr>
            <w:r>
              <w:rPr>
                <w:bCs/>
                <w:lang w:val="en-GB"/>
              </w:rPr>
              <w:t xml:space="preserve">As mentioned above 6.2% of children in Richmond are living in </w:t>
            </w:r>
            <w:r w:rsidR="009026FB">
              <w:rPr>
                <w:bCs/>
                <w:lang w:val="en-GB"/>
              </w:rPr>
              <w:t xml:space="preserve">relative low income which cold impact health. </w:t>
            </w:r>
            <w:r w:rsidR="002330D5">
              <w:rPr>
                <w:bCs/>
                <w:lang w:val="en-GB"/>
              </w:rPr>
              <w:t xml:space="preserve">In Richmond there is a 9.6% gap in </w:t>
            </w:r>
            <w:r w:rsidR="00E76672">
              <w:rPr>
                <w:bCs/>
                <w:lang w:val="en-GB"/>
              </w:rPr>
              <w:t>employment</w:t>
            </w:r>
            <w:r w:rsidR="002330D5">
              <w:rPr>
                <w:bCs/>
                <w:lang w:val="en-GB"/>
              </w:rPr>
              <w:t xml:space="preserve"> rate between those with a long term health condition and overall employment compared to 8.8% in London and 9.9% in England </w:t>
            </w:r>
            <w:r w:rsidR="00E76672">
              <w:rPr>
                <w:bCs/>
                <w:lang w:val="en-GB"/>
              </w:rPr>
              <w:t xml:space="preserve">in 2021/22 </w:t>
            </w:r>
            <w:r w:rsidR="002330D5">
              <w:rPr>
                <w:bCs/>
                <w:lang w:val="en-GB"/>
              </w:rPr>
              <w:t>(Data Rich</w:t>
            </w:r>
            <w:r w:rsidR="00E76672">
              <w:rPr>
                <w:bCs/>
                <w:lang w:val="en-GB"/>
              </w:rPr>
              <w:t>).</w:t>
            </w:r>
          </w:p>
          <w:p w14:paraId="18BEB24D" w14:textId="77777777" w:rsidR="00E76672" w:rsidRDefault="00E76672" w:rsidP="00097418">
            <w:pPr>
              <w:rPr>
                <w:bCs/>
                <w:lang w:val="en-GB"/>
              </w:rPr>
            </w:pPr>
          </w:p>
          <w:p w14:paraId="6ED6961E" w14:textId="77777777" w:rsidR="00E76672" w:rsidRDefault="00E76672" w:rsidP="00097418">
            <w:pPr>
              <w:rPr>
                <w:b/>
                <w:lang w:val="en-GB"/>
              </w:rPr>
            </w:pPr>
            <w:r w:rsidRPr="00896E3C">
              <w:rPr>
                <w:b/>
                <w:lang w:val="en-GB"/>
              </w:rPr>
              <w:t>Refugee Status:</w:t>
            </w:r>
          </w:p>
          <w:p w14:paraId="5F6602B8" w14:textId="057F6FCA" w:rsidR="001545EE" w:rsidRPr="001545EE" w:rsidRDefault="001545EE" w:rsidP="00097418">
            <w:pPr>
              <w:rPr>
                <w:bCs/>
                <w:lang w:val="en-GB"/>
              </w:rPr>
            </w:pPr>
            <w:r w:rsidRPr="001545EE">
              <w:rPr>
                <w:bCs/>
                <w:lang w:val="en-GB"/>
              </w:rPr>
              <w:t>There are</w:t>
            </w:r>
            <w:r>
              <w:rPr>
                <w:bCs/>
                <w:lang w:val="en-GB"/>
              </w:rPr>
              <w:t xml:space="preserve"> </w:t>
            </w:r>
            <w:r w:rsidR="008B0E0D">
              <w:rPr>
                <w:bCs/>
                <w:lang w:val="en-GB"/>
              </w:rPr>
              <w:t xml:space="preserve">842 people with refugee status </w:t>
            </w:r>
            <w:r w:rsidR="000B3359">
              <w:rPr>
                <w:bCs/>
                <w:lang w:val="en-GB"/>
              </w:rPr>
              <w:t>outside for the Hong Kong BNO scheme currently living in Richmond.</w:t>
            </w:r>
          </w:p>
          <w:tbl>
            <w:tblPr>
              <w:tblStyle w:val="TableGrid"/>
              <w:tblW w:w="7390" w:type="dxa"/>
              <w:tblLook w:val="04A0" w:firstRow="1" w:lastRow="0" w:firstColumn="1" w:lastColumn="0" w:noHBand="0" w:noVBand="1"/>
            </w:tblPr>
            <w:tblGrid>
              <w:gridCol w:w="3695"/>
              <w:gridCol w:w="3695"/>
            </w:tblGrid>
            <w:tr w:rsidR="005532E5" w14:paraId="2181EE8F" w14:textId="77777777" w:rsidTr="005532E5">
              <w:trPr>
                <w:trHeight w:val="501"/>
              </w:trPr>
              <w:tc>
                <w:tcPr>
                  <w:tcW w:w="3695" w:type="dxa"/>
                  <w:hideMark/>
                </w:tcPr>
                <w:p w14:paraId="62395B98" w14:textId="77777777" w:rsidR="005532E5" w:rsidRDefault="005532E5" w:rsidP="005532E5">
                  <w:r>
                    <w:rPr>
                      <w:b/>
                      <w:bCs/>
                      <w:color w:val="000000"/>
                    </w:rPr>
                    <w:t>Scheme</w:t>
                  </w:r>
                </w:p>
              </w:tc>
              <w:tc>
                <w:tcPr>
                  <w:tcW w:w="3695" w:type="dxa"/>
                  <w:hideMark/>
                </w:tcPr>
                <w:p w14:paraId="4D7BCD5B" w14:textId="77777777" w:rsidR="005532E5" w:rsidRDefault="005532E5" w:rsidP="005532E5">
                  <w:r>
                    <w:rPr>
                      <w:b/>
                      <w:bCs/>
                      <w:color w:val="000000"/>
                    </w:rPr>
                    <w:t>Richmond</w:t>
                  </w:r>
                </w:p>
              </w:tc>
            </w:tr>
            <w:tr w:rsidR="005532E5" w14:paraId="372E0539" w14:textId="77777777" w:rsidTr="005532E5">
              <w:trPr>
                <w:trHeight w:val="448"/>
              </w:trPr>
              <w:tc>
                <w:tcPr>
                  <w:tcW w:w="3695" w:type="dxa"/>
                  <w:hideMark/>
                </w:tcPr>
                <w:p w14:paraId="10A996E7" w14:textId="77777777" w:rsidR="005532E5" w:rsidRDefault="005532E5" w:rsidP="005532E5">
                  <w:r>
                    <w:rPr>
                      <w:color w:val="000000"/>
                    </w:rPr>
                    <w:t>Syrian Resettlement scheme (2015-date)</w:t>
                  </w:r>
                </w:p>
              </w:tc>
              <w:tc>
                <w:tcPr>
                  <w:tcW w:w="3695" w:type="dxa"/>
                  <w:hideMark/>
                </w:tcPr>
                <w:p w14:paraId="550EE32C" w14:textId="77777777" w:rsidR="005532E5" w:rsidRDefault="005532E5" w:rsidP="005532E5">
                  <w:r>
                    <w:rPr>
                      <w:color w:val="000000"/>
                    </w:rPr>
                    <w:t>Six families (32 people)</w:t>
                  </w:r>
                </w:p>
              </w:tc>
            </w:tr>
            <w:tr w:rsidR="005532E5" w14:paraId="73DB5C91" w14:textId="77777777" w:rsidTr="005532E5">
              <w:trPr>
                <w:trHeight w:val="448"/>
              </w:trPr>
              <w:tc>
                <w:tcPr>
                  <w:tcW w:w="3695" w:type="dxa"/>
                  <w:hideMark/>
                </w:tcPr>
                <w:p w14:paraId="7B8B274E" w14:textId="77777777" w:rsidR="005532E5" w:rsidRDefault="005532E5" w:rsidP="005532E5">
                  <w:r>
                    <w:rPr>
                      <w:color w:val="000000"/>
                    </w:rPr>
                    <w:t>Afghan Resettlement scheme (2021 – date)</w:t>
                  </w:r>
                </w:p>
              </w:tc>
              <w:tc>
                <w:tcPr>
                  <w:tcW w:w="3695" w:type="dxa"/>
                  <w:hideMark/>
                </w:tcPr>
                <w:p w14:paraId="246FE61B" w14:textId="77777777" w:rsidR="005532E5" w:rsidRDefault="005532E5" w:rsidP="005532E5">
                  <w:r>
                    <w:rPr>
                      <w:color w:val="000000"/>
                    </w:rPr>
                    <w:t>Four families (19 people)</w:t>
                  </w:r>
                </w:p>
              </w:tc>
            </w:tr>
            <w:tr w:rsidR="005532E5" w14:paraId="2DD76F22" w14:textId="77777777" w:rsidTr="005532E5">
              <w:trPr>
                <w:trHeight w:val="448"/>
              </w:trPr>
              <w:tc>
                <w:tcPr>
                  <w:tcW w:w="3695" w:type="dxa"/>
                  <w:hideMark/>
                </w:tcPr>
                <w:p w14:paraId="417B20CF" w14:textId="77777777" w:rsidR="005532E5" w:rsidRDefault="005532E5" w:rsidP="005532E5">
                  <w:r>
                    <w:rPr>
                      <w:color w:val="000000"/>
                    </w:rPr>
                    <w:t>Homes for Ukraine scheme (2022 – Date)</w:t>
                  </w:r>
                </w:p>
              </w:tc>
              <w:tc>
                <w:tcPr>
                  <w:tcW w:w="3695" w:type="dxa"/>
                  <w:hideMark/>
                </w:tcPr>
                <w:p w14:paraId="2BA68209" w14:textId="77777777" w:rsidR="005532E5" w:rsidRDefault="005532E5" w:rsidP="005532E5">
                  <w:r>
                    <w:rPr>
                      <w:color w:val="000000"/>
                    </w:rPr>
                    <w:t>765</w:t>
                  </w:r>
                </w:p>
              </w:tc>
            </w:tr>
            <w:tr w:rsidR="005532E5" w14:paraId="1FC0B2A0" w14:textId="77777777" w:rsidTr="005532E5">
              <w:trPr>
                <w:trHeight w:val="448"/>
              </w:trPr>
              <w:tc>
                <w:tcPr>
                  <w:tcW w:w="3695" w:type="dxa"/>
                  <w:hideMark/>
                </w:tcPr>
                <w:p w14:paraId="3CCF395A" w14:textId="77777777" w:rsidR="005532E5" w:rsidRDefault="005532E5" w:rsidP="005532E5">
                  <w:r>
                    <w:rPr>
                      <w:color w:val="000000"/>
                    </w:rPr>
                    <w:t>Unaccompanied Asylum Seeking Children</w:t>
                  </w:r>
                </w:p>
              </w:tc>
              <w:tc>
                <w:tcPr>
                  <w:tcW w:w="3695" w:type="dxa"/>
                  <w:hideMark/>
                </w:tcPr>
                <w:p w14:paraId="74D80EE7" w14:textId="77777777" w:rsidR="005532E5" w:rsidRDefault="005532E5" w:rsidP="005532E5">
                  <w:r>
                    <w:rPr>
                      <w:color w:val="000000"/>
                    </w:rPr>
                    <w:t>26</w:t>
                  </w:r>
                </w:p>
              </w:tc>
            </w:tr>
            <w:tr w:rsidR="005532E5" w14:paraId="17861E0B" w14:textId="77777777" w:rsidTr="005532E5">
              <w:trPr>
                <w:trHeight w:val="448"/>
              </w:trPr>
              <w:tc>
                <w:tcPr>
                  <w:tcW w:w="3695" w:type="dxa"/>
                  <w:hideMark/>
                </w:tcPr>
                <w:p w14:paraId="3E915D98" w14:textId="77777777" w:rsidR="005532E5" w:rsidRDefault="005532E5" w:rsidP="005532E5">
                  <w:r>
                    <w:rPr>
                      <w:color w:val="000000"/>
                    </w:rPr>
                    <w:t>Hong Kong BNO scheme</w:t>
                  </w:r>
                </w:p>
              </w:tc>
              <w:tc>
                <w:tcPr>
                  <w:tcW w:w="3695" w:type="dxa"/>
                  <w:hideMark/>
                </w:tcPr>
                <w:p w14:paraId="69C07645" w14:textId="304C4C32" w:rsidR="005532E5" w:rsidRDefault="005532E5" w:rsidP="005532E5">
                  <w:r>
                    <w:rPr>
                      <w:color w:val="000000"/>
                    </w:rPr>
                    <w:t xml:space="preserve">No exact data available, but proxy data shows 497 School Applications from Hong </w:t>
                  </w:r>
                  <w:proofErr w:type="spellStart"/>
                  <w:r>
                    <w:rPr>
                      <w:color w:val="000000"/>
                    </w:rPr>
                    <w:t>Kongers</w:t>
                  </w:r>
                  <w:proofErr w:type="spellEnd"/>
                  <w:r>
                    <w:rPr>
                      <w:color w:val="000000"/>
                    </w:rPr>
                    <w:t xml:space="preserve"> and 985 people indicated they were born in Hong Kong in the 2021 Census</w:t>
                  </w:r>
                </w:p>
              </w:tc>
            </w:tr>
          </w:tbl>
          <w:p w14:paraId="11B2B2E9" w14:textId="55275D76" w:rsidR="00E76672" w:rsidRPr="00D050D6" w:rsidRDefault="00E76672" w:rsidP="00097418">
            <w:pPr>
              <w:rPr>
                <w:bCs/>
                <w:lang w:val="en-GB"/>
              </w:rPr>
            </w:pPr>
          </w:p>
        </w:tc>
      </w:tr>
    </w:tbl>
    <w:p w14:paraId="46144D62" w14:textId="77777777" w:rsidR="00BF6A6C" w:rsidRDefault="00BF6A6C" w:rsidP="00097418">
      <w:pPr>
        <w:rPr>
          <w:b/>
          <w:lang w:val="en-GB"/>
        </w:rPr>
      </w:pPr>
    </w:p>
    <w:p w14:paraId="60180031" w14:textId="4D4FF03A" w:rsidR="003F4905" w:rsidRDefault="003F4905" w:rsidP="00097418">
      <w:pPr>
        <w:rPr>
          <w:b/>
          <w:lang w:val="en-GB"/>
        </w:rPr>
      </w:pPr>
      <w:r>
        <w:rPr>
          <w:b/>
          <w:lang w:val="en-GB"/>
        </w:rPr>
        <w:t>Data gaps</w:t>
      </w:r>
    </w:p>
    <w:p w14:paraId="13CC4E44" w14:textId="77777777" w:rsidR="003F4905" w:rsidRDefault="003F4905" w:rsidP="00097418">
      <w:pPr>
        <w:rPr>
          <w:b/>
          <w:lang w:val="en-GB"/>
        </w:rPr>
      </w:pPr>
    </w:p>
    <w:tbl>
      <w:tblPr>
        <w:tblStyle w:val="TableGrid"/>
        <w:tblW w:w="11058" w:type="dxa"/>
        <w:tblInd w:w="-998" w:type="dxa"/>
        <w:tblLook w:val="04A0" w:firstRow="1" w:lastRow="0" w:firstColumn="1" w:lastColumn="0" w:noHBand="0" w:noVBand="1"/>
      </w:tblPr>
      <w:tblGrid>
        <w:gridCol w:w="5503"/>
        <w:gridCol w:w="5555"/>
      </w:tblGrid>
      <w:tr w:rsidR="003F4905" w14:paraId="1AFE84E4" w14:textId="77777777" w:rsidTr="004F0F6B">
        <w:tc>
          <w:tcPr>
            <w:tcW w:w="5503" w:type="dxa"/>
            <w:shd w:val="clear" w:color="auto" w:fill="DEEAF6" w:themeFill="accent1" w:themeFillTint="33"/>
          </w:tcPr>
          <w:p w14:paraId="0FEFEFD6" w14:textId="03CA1989" w:rsidR="003F4905" w:rsidRDefault="003F4905" w:rsidP="00097418">
            <w:pPr>
              <w:rPr>
                <w:b/>
                <w:lang w:val="en-GB"/>
              </w:rPr>
            </w:pPr>
            <w:r>
              <w:rPr>
                <w:b/>
                <w:lang w:val="en-GB"/>
              </w:rPr>
              <w:t>Data gap(s)</w:t>
            </w:r>
          </w:p>
        </w:tc>
        <w:tc>
          <w:tcPr>
            <w:tcW w:w="5555" w:type="dxa"/>
            <w:shd w:val="clear" w:color="auto" w:fill="DEEAF6" w:themeFill="accent1" w:themeFillTint="33"/>
          </w:tcPr>
          <w:p w14:paraId="02D0B00D" w14:textId="7B424527" w:rsidR="003F4905" w:rsidRDefault="003F4905" w:rsidP="00097418">
            <w:pPr>
              <w:rPr>
                <w:b/>
                <w:lang w:val="en-GB"/>
              </w:rPr>
            </w:pPr>
            <w:r>
              <w:rPr>
                <w:b/>
                <w:lang w:val="en-GB"/>
              </w:rPr>
              <w:t>How will this be addressed?</w:t>
            </w:r>
          </w:p>
        </w:tc>
      </w:tr>
      <w:tr w:rsidR="003F4905" w14:paraId="7C1D1C0D" w14:textId="77777777" w:rsidTr="00167645">
        <w:trPr>
          <w:trHeight w:val="241"/>
        </w:trPr>
        <w:tc>
          <w:tcPr>
            <w:tcW w:w="5503" w:type="dxa"/>
          </w:tcPr>
          <w:p w14:paraId="313CF214" w14:textId="1D702DF1" w:rsidR="003F4905" w:rsidRDefault="00976D46" w:rsidP="00097418">
            <w:pPr>
              <w:rPr>
                <w:b/>
                <w:lang w:val="en-GB"/>
              </w:rPr>
            </w:pPr>
            <w:r>
              <w:rPr>
                <w:lang w:val="en-GB"/>
              </w:rPr>
              <w:t>Impact of the PSPO</w:t>
            </w:r>
          </w:p>
        </w:tc>
        <w:tc>
          <w:tcPr>
            <w:tcW w:w="5555" w:type="dxa"/>
          </w:tcPr>
          <w:p w14:paraId="0A1FAC2E" w14:textId="489BE2E1" w:rsidR="003F4905" w:rsidRPr="001844B3" w:rsidRDefault="001844B3" w:rsidP="001844B3">
            <w:pPr>
              <w:tabs>
                <w:tab w:val="left" w:pos="915"/>
              </w:tabs>
              <w:rPr>
                <w:bCs/>
                <w:lang w:val="en-GB"/>
              </w:rPr>
            </w:pPr>
            <w:r w:rsidRPr="001844B3">
              <w:rPr>
                <w:bCs/>
                <w:lang w:val="en-GB"/>
              </w:rPr>
              <w:t>The impact of the measures will be monitored in order to evaluate if there are any unintended negative impacts as a result.</w:t>
            </w:r>
          </w:p>
        </w:tc>
      </w:tr>
    </w:tbl>
    <w:p w14:paraId="6C3B9CDF" w14:textId="77777777" w:rsidR="003F4905" w:rsidRDefault="003F4905" w:rsidP="00097418">
      <w:pPr>
        <w:rPr>
          <w:b/>
          <w:lang w:val="en-GB"/>
        </w:rPr>
      </w:pPr>
    </w:p>
    <w:p w14:paraId="3863E5B3" w14:textId="3DF878E3" w:rsidR="003F4905" w:rsidRPr="00BE2FE6" w:rsidRDefault="003F4905" w:rsidP="004E0F4F">
      <w:pPr>
        <w:pStyle w:val="ListParagraph"/>
        <w:numPr>
          <w:ilvl w:val="0"/>
          <w:numId w:val="7"/>
        </w:numPr>
        <w:ind w:left="0" w:hanging="284"/>
        <w:rPr>
          <w:b/>
          <w:lang w:val="en-GB"/>
        </w:rPr>
      </w:pPr>
      <w:r w:rsidRPr="00BE2FE6">
        <w:rPr>
          <w:b/>
          <w:lang w:val="en-GB"/>
        </w:rPr>
        <w:t>Impact</w:t>
      </w:r>
    </w:p>
    <w:p w14:paraId="5B5B0573" w14:textId="77777777" w:rsidR="003F4905" w:rsidRDefault="003F4905" w:rsidP="00097418">
      <w:pPr>
        <w:rPr>
          <w:b/>
          <w:lang w:val="en-GB"/>
        </w:rPr>
      </w:pPr>
    </w:p>
    <w:p w14:paraId="73506DC2" w14:textId="77777777" w:rsidR="006F44AD" w:rsidRPr="00F023C2" w:rsidRDefault="006F44AD" w:rsidP="00097418">
      <w:pPr>
        <w:rPr>
          <w:i/>
          <w:iCs/>
          <w:lang w:val="en-GB"/>
        </w:rPr>
      </w:pPr>
    </w:p>
    <w:tbl>
      <w:tblPr>
        <w:tblStyle w:val="TableGrid"/>
        <w:tblW w:w="11058" w:type="dxa"/>
        <w:tblInd w:w="-998" w:type="dxa"/>
        <w:tblLook w:val="04A0" w:firstRow="1" w:lastRow="0" w:firstColumn="1" w:lastColumn="0" w:noHBand="0" w:noVBand="1"/>
      </w:tblPr>
      <w:tblGrid>
        <w:gridCol w:w="2870"/>
        <w:gridCol w:w="4077"/>
        <w:gridCol w:w="4111"/>
      </w:tblGrid>
      <w:tr w:rsidR="003F4905" w14:paraId="00B43AB4" w14:textId="77777777" w:rsidTr="004F0F6B">
        <w:tc>
          <w:tcPr>
            <w:tcW w:w="2870" w:type="dxa"/>
            <w:shd w:val="clear" w:color="auto" w:fill="DEEAF6" w:themeFill="accent1" w:themeFillTint="33"/>
          </w:tcPr>
          <w:p w14:paraId="574F7C0E" w14:textId="77777777" w:rsidR="003F4905" w:rsidRDefault="003F4905" w:rsidP="005F6DC1">
            <w:pPr>
              <w:rPr>
                <w:b/>
                <w:lang w:val="en-GB"/>
              </w:rPr>
            </w:pPr>
            <w:r>
              <w:rPr>
                <w:b/>
                <w:lang w:val="en-GB"/>
              </w:rPr>
              <w:t>Protected group</w:t>
            </w:r>
          </w:p>
        </w:tc>
        <w:tc>
          <w:tcPr>
            <w:tcW w:w="4077" w:type="dxa"/>
            <w:shd w:val="clear" w:color="auto" w:fill="DEEAF6" w:themeFill="accent1" w:themeFillTint="33"/>
          </w:tcPr>
          <w:p w14:paraId="1F57103C" w14:textId="63CE0A72" w:rsidR="003F4905" w:rsidRDefault="003F4905" w:rsidP="003F4905">
            <w:pPr>
              <w:rPr>
                <w:b/>
                <w:lang w:val="en-GB"/>
              </w:rPr>
            </w:pPr>
            <w:r>
              <w:rPr>
                <w:b/>
                <w:lang w:val="en-GB"/>
              </w:rPr>
              <w:t>Positive</w:t>
            </w:r>
          </w:p>
        </w:tc>
        <w:tc>
          <w:tcPr>
            <w:tcW w:w="4111" w:type="dxa"/>
            <w:shd w:val="clear" w:color="auto" w:fill="DEEAF6" w:themeFill="accent1" w:themeFillTint="33"/>
          </w:tcPr>
          <w:p w14:paraId="6A169DE5" w14:textId="7273B105" w:rsidR="003F4905" w:rsidRDefault="003F4905" w:rsidP="005F6DC1">
            <w:pPr>
              <w:rPr>
                <w:b/>
                <w:lang w:val="en-GB"/>
              </w:rPr>
            </w:pPr>
            <w:r>
              <w:rPr>
                <w:b/>
                <w:lang w:val="en-GB"/>
              </w:rPr>
              <w:t>Negative</w:t>
            </w:r>
          </w:p>
        </w:tc>
      </w:tr>
      <w:tr w:rsidR="003F4905" w14:paraId="49061D41" w14:textId="77777777" w:rsidTr="00A723EB">
        <w:trPr>
          <w:trHeight w:val="339"/>
        </w:trPr>
        <w:tc>
          <w:tcPr>
            <w:tcW w:w="2870" w:type="dxa"/>
          </w:tcPr>
          <w:p w14:paraId="1D3CBD12" w14:textId="77777777" w:rsidR="003F4905" w:rsidRDefault="003F4905" w:rsidP="005F6DC1">
            <w:pPr>
              <w:rPr>
                <w:b/>
                <w:lang w:val="en-GB"/>
              </w:rPr>
            </w:pPr>
            <w:r>
              <w:rPr>
                <w:b/>
                <w:lang w:val="en-GB"/>
              </w:rPr>
              <w:t>Age</w:t>
            </w:r>
          </w:p>
        </w:tc>
        <w:tc>
          <w:tcPr>
            <w:tcW w:w="4077" w:type="dxa"/>
          </w:tcPr>
          <w:p w14:paraId="3E2E1F6D" w14:textId="0A2ADC1C" w:rsidR="003F4905" w:rsidRPr="0023032D" w:rsidRDefault="0023032D" w:rsidP="0023032D">
            <w:pPr>
              <w:spacing w:after="60"/>
              <w:rPr>
                <w:lang w:val="en-GB"/>
              </w:rPr>
            </w:pPr>
            <w:r w:rsidRPr="00625F48">
              <w:rPr>
                <w:lang w:val="en-GB"/>
              </w:rPr>
              <w:t>Reducing anti-social and irresponsible behaviour and fear for personal safety may encourage children, young people and older people to make greater use of parks and public places.</w:t>
            </w:r>
          </w:p>
        </w:tc>
        <w:tc>
          <w:tcPr>
            <w:tcW w:w="4111" w:type="dxa"/>
          </w:tcPr>
          <w:p w14:paraId="1A8A03E3" w14:textId="77777777" w:rsidR="00304344" w:rsidRPr="00625F48" w:rsidRDefault="00304344" w:rsidP="00304344">
            <w:pPr>
              <w:spacing w:after="60"/>
              <w:rPr>
                <w:lang w:val="en-GB"/>
              </w:rPr>
            </w:pPr>
            <w:r w:rsidRPr="00625F48">
              <w:rPr>
                <w:lang w:val="en-GB"/>
              </w:rPr>
              <w:t>It could be argued that young people are more likely to be visiting public places for active recreation, late at night, creating noise, drinking alcohol, camping and lighting fires. Therefore if implemented the impact of the PSPO to restrict these activities could have a negative impact on young people.</w:t>
            </w:r>
          </w:p>
          <w:p w14:paraId="36B05295" w14:textId="4B68AF96" w:rsidR="003F4905" w:rsidRDefault="00304344" w:rsidP="00304344">
            <w:pPr>
              <w:spacing w:after="60"/>
              <w:rPr>
                <w:lang w:val="en-GB"/>
              </w:rPr>
            </w:pPr>
            <w:r w:rsidRPr="00625F48">
              <w:rPr>
                <w:lang w:val="en-GB"/>
              </w:rPr>
              <w:t>There is potential for the provision against going to the toilet in public places could have a greater impact on children and older people</w:t>
            </w:r>
            <w:r w:rsidR="00FE3733">
              <w:rPr>
                <w:lang w:val="en-GB"/>
              </w:rPr>
              <w:t>.</w:t>
            </w:r>
          </w:p>
          <w:p w14:paraId="255CE48E" w14:textId="77777777" w:rsidR="00E93CFF" w:rsidRPr="00625F48" w:rsidRDefault="00E93CFF" w:rsidP="00E93CFF">
            <w:pPr>
              <w:spacing w:after="60"/>
              <w:rPr>
                <w:lang w:val="en-GB"/>
              </w:rPr>
            </w:pPr>
            <w:r w:rsidRPr="00625F48">
              <w:rPr>
                <w:lang w:val="en-GB"/>
              </w:rPr>
              <w:t xml:space="preserve">In order to mitigate the potential negative impacts identified above the following mitigating actions have been identified: </w:t>
            </w:r>
          </w:p>
          <w:p w14:paraId="77B8DC3F" w14:textId="082C9066" w:rsidR="00E93CFF" w:rsidRPr="00625F48" w:rsidRDefault="00E93CFF" w:rsidP="00E93CFF">
            <w:pPr>
              <w:pStyle w:val="ListParagraph"/>
              <w:numPr>
                <w:ilvl w:val="0"/>
                <w:numId w:val="9"/>
              </w:numPr>
              <w:spacing w:after="60"/>
              <w:ind w:left="317" w:hanging="317"/>
              <w:rPr>
                <w:lang w:val="en-GB"/>
              </w:rPr>
            </w:pPr>
            <w:r w:rsidRPr="00625F48">
              <w:rPr>
                <w:lang w:val="en-GB"/>
              </w:rPr>
              <w:t>Parkguard officers undergo Equality and Diversity training before deployment (this is standard practice).</w:t>
            </w:r>
          </w:p>
          <w:p w14:paraId="09E653BA" w14:textId="77777777" w:rsidR="00E93CFF" w:rsidRPr="00625F48" w:rsidRDefault="00E93CFF" w:rsidP="00E93CFF">
            <w:pPr>
              <w:pStyle w:val="ListParagraph"/>
              <w:numPr>
                <w:ilvl w:val="0"/>
                <w:numId w:val="9"/>
              </w:numPr>
              <w:spacing w:after="60"/>
              <w:ind w:left="317" w:hanging="317"/>
              <w:rPr>
                <w:lang w:val="en-GB"/>
              </w:rPr>
            </w:pPr>
            <w:r w:rsidRPr="00625F48">
              <w:rPr>
                <w:lang w:val="en-GB"/>
              </w:rPr>
              <w:t xml:space="preserve">Officers will use their discretion over the circumstances involved in any incident, making reasonable adjustments for age. For example, except where a complete prohibition is in place, as it is for drones, activity that falls within the realms of normal play is unlikely to be enforced against unless the location is completely inappropriate. </w:t>
            </w:r>
          </w:p>
          <w:p w14:paraId="6426BD57" w14:textId="77777777" w:rsidR="00E93CFF" w:rsidRPr="00625F48" w:rsidRDefault="00E93CFF" w:rsidP="00E93CFF">
            <w:pPr>
              <w:pStyle w:val="ListParagraph"/>
              <w:numPr>
                <w:ilvl w:val="0"/>
                <w:numId w:val="9"/>
              </w:numPr>
              <w:spacing w:after="60"/>
              <w:ind w:left="317" w:hanging="317"/>
              <w:rPr>
                <w:lang w:val="en-GB"/>
              </w:rPr>
            </w:pPr>
            <w:r w:rsidRPr="00625F48">
              <w:rPr>
                <w:lang w:val="en-GB"/>
              </w:rPr>
              <w:t>Further, where public urination and defecation is concerned, Officers will use their discretion over the circumstances and person involved, including when dealing with children, older people or those with medical issues.</w:t>
            </w:r>
          </w:p>
          <w:p w14:paraId="29939504" w14:textId="77777777" w:rsidR="00E7497E" w:rsidRDefault="00E93CFF" w:rsidP="00E93CFF">
            <w:pPr>
              <w:pStyle w:val="ListParagraph"/>
              <w:numPr>
                <w:ilvl w:val="0"/>
                <w:numId w:val="9"/>
              </w:numPr>
              <w:spacing w:after="60"/>
              <w:ind w:left="317" w:hanging="317"/>
              <w:rPr>
                <w:lang w:val="en-GB"/>
              </w:rPr>
            </w:pPr>
            <w:r w:rsidRPr="00625F48">
              <w:rPr>
                <w:lang w:val="en-GB"/>
              </w:rPr>
              <w:t xml:space="preserve">A discussive, educational approach will be taken first and a warning </w:t>
            </w:r>
            <w:r w:rsidRPr="00625F48">
              <w:rPr>
                <w:lang w:val="en-GB"/>
              </w:rPr>
              <w:lastRenderedPageBreak/>
              <w:t xml:space="preserve">given before any enforcement action. </w:t>
            </w:r>
          </w:p>
          <w:p w14:paraId="0A786D4F" w14:textId="760B4644" w:rsidR="00E93CFF" w:rsidRPr="00E7497E" w:rsidRDefault="00E93CFF" w:rsidP="00E93CFF">
            <w:pPr>
              <w:pStyle w:val="ListParagraph"/>
              <w:numPr>
                <w:ilvl w:val="0"/>
                <w:numId w:val="9"/>
              </w:numPr>
              <w:spacing w:after="60"/>
              <w:ind w:left="317" w:hanging="317"/>
              <w:rPr>
                <w:lang w:val="en-GB"/>
              </w:rPr>
            </w:pPr>
            <w:r w:rsidRPr="00E7497E">
              <w:rPr>
                <w:lang w:val="en-GB"/>
              </w:rPr>
              <w:t>There will be publicity about the renewal of PSPOs and both temporary and permanent signage used to explain the measures in place.</w:t>
            </w:r>
          </w:p>
        </w:tc>
      </w:tr>
      <w:tr w:rsidR="003F4905" w14:paraId="5EFBAB49" w14:textId="77777777" w:rsidTr="00A723EB">
        <w:tc>
          <w:tcPr>
            <w:tcW w:w="2870" w:type="dxa"/>
          </w:tcPr>
          <w:p w14:paraId="0A9D313D" w14:textId="77777777" w:rsidR="003F4905" w:rsidRDefault="003F4905" w:rsidP="005F6DC1">
            <w:pPr>
              <w:rPr>
                <w:b/>
                <w:lang w:val="en-GB"/>
              </w:rPr>
            </w:pPr>
            <w:r>
              <w:rPr>
                <w:b/>
                <w:lang w:val="en-GB"/>
              </w:rPr>
              <w:lastRenderedPageBreak/>
              <w:t>Disability</w:t>
            </w:r>
          </w:p>
        </w:tc>
        <w:tc>
          <w:tcPr>
            <w:tcW w:w="4077" w:type="dxa"/>
          </w:tcPr>
          <w:p w14:paraId="4B76B6D8" w14:textId="75E072C3" w:rsidR="003F4905" w:rsidRPr="007A0904" w:rsidRDefault="007A0904" w:rsidP="007A0904">
            <w:pPr>
              <w:spacing w:after="60"/>
              <w:rPr>
                <w:lang w:val="en-GB"/>
              </w:rPr>
            </w:pPr>
            <w:r w:rsidRPr="00625F48">
              <w:rPr>
                <w:lang w:val="en-GB"/>
              </w:rPr>
              <w:t>Reducing anti-social and irresponsible behaviour and fear for personal safety may encourage people with a disability to make greater use of parks and public places.</w:t>
            </w:r>
          </w:p>
        </w:tc>
        <w:tc>
          <w:tcPr>
            <w:tcW w:w="4111" w:type="dxa"/>
          </w:tcPr>
          <w:p w14:paraId="17523028" w14:textId="77777777" w:rsidR="00863B0A" w:rsidRPr="00625F48" w:rsidRDefault="00863B0A" w:rsidP="00863B0A">
            <w:pPr>
              <w:spacing w:after="60"/>
              <w:rPr>
                <w:lang w:val="en-GB"/>
              </w:rPr>
            </w:pPr>
            <w:r w:rsidRPr="00625F48">
              <w:rPr>
                <w:lang w:val="en-GB"/>
              </w:rPr>
              <w:t>The PSPOs could have a negative impact on some disabled people, for example those with learning difficulties or sensory impairments, who may not understand what is required when visiting a public place; they may be more likely to have enforcement action taken against them.</w:t>
            </w:r>
          </w:p>
          <w:p w14:paraId="39668C00" w14:textId="77777777" w:rsidR="00E7497E" w:rsidRPr="00625F48" w:rsidRDefault="00E7497E" w:rsidP="00E7497E">
            <w:pPr>
              <w:spacing w:after="60"/>
              <w:rPr>
                <w:lang w:val="en-GB"/>
              </w:rPr>
            </w:pPr>
            <w:r w:rsidRPr="00625F48">
              <w:rPr>
                <w:lang w:val="en-GB"/>
              </w:rPr>
              <w:t>In order to mitigate the potential negative impacts identified, the following mitigating actions have been identified:</w:t>
            </w:r>
          </w:p>
          <w:p w14:paraId="2E15A14F" w14:textId="77777777" w:rsidR="00E7497E" w:rsidRPr="00625F48" w:rsidRDefault="00E7497E" w:rsidP="00E7497E">
            <w:pPr>
              <w:pStyle w:val="ListParagraph"/>
              <w:numPr>
                <w:ilvl w:val="0"/>
                <w:numId w:val="10"/>
              </w:numPr>
              <w:spacing w:after="60"/>
              <w:rPr>
                <w:lang w:val="en-GB"/>
              </w:rPr>
            </w:pPr>
            <w:r w:rsidRPr="00625F48">
              <w:rPr>
                <w:lang w:val="en-GB"/>
              </w:rPr>
              <w:t>Parkguard officers would undergo Equality and Diversity training before deployment (this is standard practice).</w:t>
            </w:r>
          </w:p>
          <w:p w14:paraId="0EDA2E37" w14:textId="77777777" w:rsidR="00E7497E" w:rsidRPr="00625F48" w:rsidRDefault="00E7497E" w:rsidP="00E7497E">
            <w:pPr>
              <w:pStyle w:val="ListParagraph"/>
              <w:numPr>
                <w:ilvl w:val="0"/>
                <w:numId w:val="10"/>
              </w:numPr>
              <w:spacing w:after="60"/>
              <w:rPr>
                <w:lang w:val="en-GB"/>
              </w:rPr>
            </w:pPr>
            <w:r w:rsidRPr="00625F48">
              <w:rPr>
                <w:lang w:val="en-GB"/>
              </w:rPr>
              <w:t xml:space="preserve">Officers will use their discretion over the circumstances involved in any incident, making reasonable adjustments for disabled park users. </w:t>
            </w:r>
          </w:p>
          <w:p w14:paraId="28612560" w14:textId="77777777" w:rsidR="00E7497E" w:rsidRDefault="00E7497E" w:rsidP="00E7497E">
            <w:pPr>
              <w:pStyle w:val="ListParagraph"/>
              <w:numPr>
                <w:ilvl w:val="0"/>
                <w:numId w:val="10"/>
              </w:numPr>
              <w:spacing w:after="60"/>
              <w:rPr>
                <w:lang w:val="en-GB"/>
              </w:rPr>
            </w:pPr>
            <w:r w:rsidRPr="00625F48">
              <w:rPr>
                <w:lang w:val="en-GB"/>
              </w:rPr>
              <w:t xml:space="preserve">A discussive, educational approach will be taken first and a warning given before any enforcement action. </w:t>
            </w:r>
          </w:p>
          <w:p w14:paraId="24515376" w14:textId="3096E879" w:rsidR="003F4905" w:rsidRPr="00E7497E" w:rsidRDefault="00E7497E" w:rsidP="00E7497E">
            <w:pPr>
              <w:pStyle w:val="ListParagraph"/>
              <w:numPr>
                <w:ilvl w:val="0"/>
                <w:numId w:val="10"/>
              </w:numPr>
              <w:spacing w:after="60"/>
              <w:rPr>
                <w:lang w:val="en-GB"/>
              </w:rPr>
            </w:pPr>
            <w:r w:rsidRPr="00E7497E">
              <w:rPr>
                <w:lang w:val="en-GB"/>
              </w:rPr>
              <w:t>There will be publicity about the renewal of PSPOs and both temporary and permanent signage used to explain the measures in place.</w:t>
            </w:r>
          </w:p>
        </w:tc>
      </w:tr>
      <w:tr w:rsidR="003F4905" w14:paraId="3194B184" w14:textId="77777777" w:rsidTr="00A723EB">
        <w:tc>
          <w:tcPr>
            <w:tcW w:w="2870" w:type="dxa"/>
          </w:tcPr>
          <w:p w14:paraId="77E6EC0E" w14:textId="3267104E" w:rsidR="003F4905" w:rsidRDefault="00B73381" w:rsidP="005F6DC1">
            <w:pPr>
              <w:rPr>
                <w:b/>
                <w:lang w:val="en-GB"/>
              </w:rPr>
            </w:pPr>
            <w:r>
              <w:rPr>
                <w:b/>
                <w:lang w:val="en-GB"/>
              </w:rPr>
              <w:t>S</w:t>
            </w:r>
            <w:r w:rsidR="003F4905">
              <w:rPr>
                <w:b/>
                <w:lang w:val="en-GB"/>
              </w:rPr>
              <w:t>ex</w:t>
            </w:r>
          </w:p>
        </w:tc>
        <w:tc>
          <w:tcPr>
            <w:tcW w:w="4077" w:type="dxa"/>
          </w:tcPr>
          <w:p w14:paraId="70FABB6F" w14:textId="763DAFDD" w:rsidR="003F4905" w:rsidRDefault="00066A68" w:rsidP="005F6DC1">
            <w:pPr>
              <w:rPr>
                <w:b/>
                <w:lang w:val="en-GB"/>
              </w:rPr>
            </w:pPr>
            <w:r w:rsidRPr="00F72525">
              <w:rPr>
                <w:lang w:val="en-GB"/>
              </w:rPr>
              <w:t>Reducing anti-social and irresponsible behaviour and fear for personal safety may encourage women to make greater use of parks and public places.</w:t>
            </w:r>
          </w:p>
        </w:tc>
        <w:tc>
          <w:tcPr>
            <w:tcW w:w="4111" w:type="dxa"/>
          </w:tcPr>
          <w:p w14:paraId="5DF59652" w14:textId="69206A9C" w:rsidR="003F4905" w:rsidRDefault="000547D8" w:rsidP="005F6DC1">
            <w:pPr>
              <w:rPr>
                <w:b/>
                <w:lang w:val="en-GB"/>
              </w:rPr>
            </w:pPr>
            <w:r w:rsidRPr="00F72525">
              <w:rPr>
                <w:lang w:val="en-GB"/>
              </w:rPr>
              <w:t xml:space="preserve">The </w:t>
            </w:r>
            <w:r>
              <w:rPr>
                <w:lang w:val="en-GB"/>
              </w:rPr>
              <w:t>PSPOs</w:t>
            </w:r>
            <w:r w:rsidRPr="00F72525">
              <w:rPr>
                <w:lang w:val="en-GB"/>
              </w:rPr>
              <w:t xml:space="preserve"> </w:t>
            </w:r>
            <w:r>
              <w:rPr>
                <w:lang w:val="en-GB"/>
              </w:rPr>
              <w:t>are</w:t>
            </w:r>
            <w:r w:rsidRPr="00F72525">
              <w:rPr>
                <w:lang w:val="en-GB"/>
              </w:rPr>
              <w:t xml:space="preserve"> unlikely to have a negative impact in terms of gender.</w:t>
            </w:r>
          </w:p>
        </w:tc>
      </w:tr>
      <w:tr w:rsidR="003F4905" w14:paraId="0186645F" w14:textId="77777777" w:rsidTr="00A723EB">
        <w:tc>
          <w:tcPr>
            <w:tcW w:w="2870" w:type="dxa"/>
          </w:tcPr>
          <w:p w14:paraId="306AD3BF" w14:textId="77777777" w:rsidR="003F4905" w:rsidRDefault="003F4905" w:rsidP="005F6DC1">
            <w:pPr>
              <w:rPr>
                <w:b/>
                <w:lang w:val="en-GB"/>
              </w:rPr>
            </w:pPr>
            <w:r>
              <w:rPr>
                <w:b/>
                <w:lang w:val="en-GB"/>
              </w:rPr>
              <w:t>Gender reassignment</w:t>
            </w:r>
          </w:p>
        </w:tc>
        <w:tc>
          <w:tcPr>
            <w:tcW w:w="4077" w:type="dxa"/>
          </w:tcPr>
          <w:p w14:paraId="0D4A021C" w14:textId="6C205AAE" w:rsidR="003F4905" w:rsidRDefault="00061501" w:rsidP="005F6DC1">
            <w:pPr>
              <w:rPr>
                <w:b/>
                <w:lang w:val="en-GB"/>
              </w:rPr>
            </w:pPr>
            <w:r w:rsidRPr="00F72525">
              <w:rPr>
                <w:lang w:val="en-GB"/>
              </w:rPr>
              <w:t xml:space="preserve">The increased presence in parks to implement the PSPO in the short-term may have the indirect beneficial impact of reducing or deterring hate crime and </w:t>
            </w:r>
            <w:r w:rsidRPr="00F72525">
              <w:rPr>
                <w:lang w:val="en-GB"/>
              </w:rPr>
              <w:lastRenderedPageBreak/>
              <w:t>harassment incidents towards transgender people.</w:t>
            </w:r>
          </w:p>
        </w:tc>
        <w:tc>
          <w:tcPr>
            <w:tcW w:w="4111" w:type="dxa"/>
          </w:tcPr>
          <w:p w14:paraId="6B3F96BB" w14:textId="38C7E856" w:rsidR="003F4905" w:rsidRDefault="00BA42D6" w:rsidP="005F6DC1">
            <w:pPr>
              <w:rPr>
                <w:b/>
                <w:lang w:val="en-GB"/>
              </w:rPr>
            </w:pPr>
            <w:r w:rsidRPr="00F72525">
              <w:rPr>
                <w:lang w:val="en-GB"/>
              </w:rPr>
              <w:lastRenderedPageBreak/>
              <w:t xml:space="preserve">The </w:t>
            </w:r>
            <w:r>
              <w:rPr>
                <w:lang w:val="en-GB"/>
              </w:rPr>
              <w:t>PSPOs are</w:t>
            </w:r>
            <w:r w:rsidRPr="00F72525">
              <w:rPr>
                <w:lang w:val="en-GB"/>
              </w:rPr>
              <w:t xml:space="preserve"> unlikely to have a negative impact on transgender people</w:t>
            </w:r>
            <w:r>
              <w:rPr>
                <w:lang w:val="en-GB"/>
              </w:rPr>
              <w:t xml:space="preserve"> and no specific issues were raised during the consultation</w:t>
            </w:r>
            <w:r w:rsidRPr="00F72525">
              <w:rPr>
                <w:lang w:val="en-GB"/>
              </w:rPr>
              <w:t>.</w:t>
            </w:r>
          </w:p>
        </w:tc>
      </w:tr>
      <w:tr w:rsidR="003F4905" w14:paraId="66D11C48" w14:textId="77777777" w:rsidTr="00A723EB">
        <w:tc>
          <w:tcPr>
            <w:tcW w:w="2870" w:type="dxa"/>
          </w:tcPr>
          <w:p w14:paraId="1BC53B4C" w14:textId="77777777" w:rsidR="003F4905" w:rsidRDefault="003F4905" w:rsidP="005F6DC1">
            <w:pPr>
              <w:rPr>
                <w:b/>
                <w:lang w:val="en-GB"/>
              </w:rPr>
            </w:pPr>
            <w:r>
              <w:rPr>
                <w:b/>
                <w:lang w:val="en-GB"/>
              </w:rPr>
              <w:t>Marriage and civil partnership</w:t>
            </w:r>
          </w:p>
        </w:tc>
        <w:tc>
          <w:tcPr>
            <w:tcW w:w="4077" w:type="dxa"/>
          </w:tcPr>
          <w:p w14:paraId="7880A195" w14:textId="0184BFE9" w:rsidR="003F4905" w:rsidRDefault="00193A49" w:rsidP="005F6DC1">
            <w:pPr>
              <w:rPr>
                <w:b/>
                <w:lang w:val="en-GB"/>
              </w:rPr>
            </w:pPr>
            <w:r w:rsidRPr="00F72525">
              <w:rPr>
                <w:lang w:val="en-GB"/>
              </w:rPr>
              <w:t xml:space="preserve">The impact of the </w:t>
            </w:r>
            <w:r>
              <w:rPr>
                <w:lang w:val="en-GB"/>
              </w:rPr>
              <w:t>PSPO</w:t>
            </w:r>
            <w:r w:rsidRPr="00F72525">
              <w:rPr>
                <w:lang w:val="en-GB"/>
              </w:rPr>
              <w:t xml:space="preserve"> is neutral on the issue of marriage and civil partnerships.</w:t>
            </w:r>
          </w:p>
        </w:tc>
        <w:tc>
          <w:tcPr>
            <w:tcW w:w="4111" w:type="dxa"/>
          </w:tcPr>
          <w:p w14:paraId="79C3C7B3" w14:textId="1C5FC009" w:rsidR="003F4905" w:rsidRDefault="00E117F6" w:rsidP="005F6DC1">
            <w:pPr>
              <w:rPr>
                <w:b/>
                <w:lang w:val="en-GB"/>
              </w:rPr>
            </w:pPr>
            <w:r w:rsidRPr="00F72525">
              <w:rPr>
                <w:lang w:val="en-GB"/>
              </w:rPr>
              <w:t xml:space="preserve">The impact of the </w:t>
            </w:r>
            <w:r>
              <w:rPr>
                <w:lang w:val="en-GB"/>
              </w:rPr>
              <w:t>PSPO</w:t>
            </w:r>
            <w:r w:rsidRPr="00F72525">
              <w:rPr>
                <w:lang w:val="en-GB"/>
              </w:rPr>
              <w:t xml:space="preserve"> is neutral on the issue of marriage and civil partnerships.</w:t>
            </w:r>
          </w:p>
        </w:tc>
      </w:tr>
      <w:tr w:rsidR="003F4905" w14:paraId="780E2A8C" w14:textId="77777777" w:rsidTr="00A723EB">
        <w:tc>
          <w:tcPr>
            <w:tcW w:w="2870" w:type="dxa"/>
          </w:tcPr>
          <w:p w14:paraId="7F36D28A" w14:textId="77777777" w:rsidR="003F4905" w:rsidRDefault="003F4905" w:rsidP="005F6DC1">
            <w:pPr>
              <w:rPr>
                <w:b/>
                <w:lang w:val="en-GB"/>
              </w:rPr>
            </w:pPr>
            <w:r>
              <w:rPr>
                <w:b/>
                <w:lang w:val="en-GB"/>
              </w:rPr>
              <w:t>Pregnancy and maternity</w:t>
            </w:r>
          </w:p>
        </w:tc>
        <w:tc>
          <w:tcPr>
            <w:tcW w:w="4077" w:type="dxa"/>
          </w:tcPr>
          <w:p w14:paraId="7537F6E9" w14:textId="2E0C9CEE" w:rsidR="003F4905" w:rsidRDefault="007F7765" w:rsidP="005F6DC1">
            <w:pPr>
              <w:rPr>
                <w:b/>
                <w:lang w:val="en-GB"/>
              </w:rPr>
            </w:pPr>
            <w:r w:rsidRPr="00F72525">
              <w:rPr>
                <w:lang w:val="en-GB"/>
              </w:rPr>
              <w:t xml:space="preserve">The impact of the </w:t>
            </w:r>
            <w:r>
              <w:rPr>
                <w:lang w:val="en-GB"/>
              </w:rPr>
              <w:t>PSPO</w:t>
            </w:r>
            <w:r w:rsidRPr="00F72525">
              <w:rPr>
                <w:lang w:val="en-GB"/>
              </w:rPr>
              <w:t xml:space="preserve"> is neutral on the issue of pregnancy and maternity.</w:t>
            </w:r>
          </w:p>
        </w:tc>
        <w:tc>
          <w:tcPr>
            <w:tcW w:w="4111" w:type="dxa"/>
          </w:tcPr>
          <w:p w14:paraId="66BB80ED" w14:textId="0C506078" w:rsidR="009239CF" w:rsidRPr="005A479B" w:rsidRDefault="009239CF" w:rsidP="009239CF">
            <w:pPr>
              <w:spacing w:after="60"/>
              <w:rPr>
                <w:lang w:val="en-GB"/>
              </w:rPr>
            </w:pPr>
            <w:r w:rsidRPr="005A479B">
              <w:rPr>
                <w:lang w:val="en-GB"/>
              </w:rPr>
              <w:t xml:space="preserve">Pregnant women </w:t>
            </w:r>
            <w:proofErr w:type="gramStart"/>
            <w:r w:rsidRPr="005A479B">
              <w:rPr>
                <w:lang w:val="en-GB"/>
              </w:rPr>
              <w:t>could</w:t>
            </w:r>
            <w:proofErr w:type="gramEnd"/>
            <w:r w:rsidRPr="005A479B">
              <w:rPr>
                <w:lang w:val="en-GB"/>
              </w:rPr>
              <w:t xml:space="preserve"> more likely to be impacted by the measure against public urination</w:t>
            </w:r>
          </w:p>
          <w:p w14:paraId="71433154" w14:textId="77777777" w:rsidR="009239CF" w:rsidRDefault="009239CF" w:rsidP="009239CF">
            <w:pPr>
              <w:pStyle w:val="ListParagraph"/>
              <w:numPr>
                <w:ilvl w:val="0"/>
                <w:numId w:val="11"/>
              </w:numPr>
              <w:spacing w:after="60"/>
              <w:rPr>
                <w:lang w:val="en-GB"/>
              </w:rPr>
            </w:pPr>
            <w:r w:rsidRPr="005A479B">
              <w:rPr>
                <w:lang w:val="en-GB"/>
              </w:rPr>
              <w:t>Parkguard officers would undergo Equality and Diversity training before deployment (this is standard practice).</w:t>
            </w:r>
          </w:p>
          <w:p w14:paraId="7F082F5E" w14:textId="78911799" w:rsidR="003F4905" w:rsidRPr="009239CF" w:rsidRDefault="009239CF" w:rsidP="009239CF">
            <w:pPr>
              <w:pStyle w:val="ListParagraph"/>
              <w:numPr>
                <w:ilvl w:val="0"/>
                <w:numId w:val="11"/>
              </w:numPr>
              <w:spacing w:after="60"/>
              <w:rPr>
                <w:lang w:val="en-GB"/>
              </w:rPr>
            </w:pPr>
            <w:r w:rsidRPr="009239CF">
              <w:rPr>
                <w:lang w:val="en-GB"/>
              </w:rPr>
              <w:t>Officers will use their discretion over the circumstances involved in any incident, making reasonable adjustments for pregnancy</w:t>
            </w:r>
          </w:p>
        </w:tc>
      </w:tr>
      <w:tr w:rsidR="003F4905" w14:paraId="7A67772B" w14:textId="77777777" w:rsidTr="00A723EB">
        <w:tc>
          <w:tcPr>
            <w:tcW w:w="2870" w:type="dxa"/>
          </w:tcPr>
          <w:p w14:paraId="5283315F" w14:textId="77777777" w:rsidR="003F4905" w:rsidRDefault="003F4905" w:rsidP="005F6DC1">
            <w:pPr>
              <w:rPr>
                <w:b/>
                <w:lang w:val="en-GB"/>
              </w:rPr>
            </w:pPr>
            <w:r>
              <w:rPr>
                <w:b/>
                <w:lang w:val="en-GB"/>
              </w:rPr>
              <w:t>Race/ethnicity</w:t>
            </w:r>
          </w:p>
        </w:tc>
        <w:tc>
          <w:tcPr>
            <w:tcW w:w="4077" w:type="dxa"/>
          </w:tcPr>
          <w:p w14:paraId="0E09F4BD" w14:textId="118340B0" w:rsidR="003F4905" w:rsidRDefault="004C03AD" w:rsidP="005F6DC1">
            <w:pPr>
              <w:rPr>
                <w:b/>
                <w:lang w:val="en-GB"/>
              </w:rPr>
            </w:pPr>
            <w:r w:rsidRPr="00F72525">
              <w:rPr>
                <w:lang w:val="en-GB"/>
              </w:rPr>
              <w:t xml:space="preserve">Reducing anti-social and irresponsible behaviour and fear for personal safety, and the indirect effects of an increased presence in parks to implement the PSPO, may encourage people from </w:t>
            </w:r>
            <w:r>
              <w:rPr>
                <w:lang w:val="en-GB"/>
              </w:rPr>
              <w:t xml:space="preserve">Black </w:t>
            </w:r>
            <w:r w:rsidR="00727551">
              <w:rPr>
                <w:lang w:val="en-GB"/>
              </w:rPr>
              <w:t>Asian a</w:t>
            </w:r>
            <w:r>
              <w:rPr>
                <w:lang w:val="en-GB"/>
              </w:rPr>
              <w:t>nd Minority E</w:t>
            </w:r>
            <w:r w:rsidR="00727551">
              <w:rPr>
                <w:lang w:val="en-GB"/>
              </w:rPr>
              <w:t xml:space="preserve">thnic </w:t>
            </w:r>
            <w:r w:rsidRPr="00F72525">
              <w:rPr>
                <w:lang w:val="en-GB"/>
              </w:rPr>
              <w:t>communities to make greater use of parks and public places.</w:t>
            </w:r>
          </w:p>
        </w:tc>
        <w:tc>
          <w:tcPr>
            <w:tcW w:w="4111" w:type="dxa"/>
          </w:tcPr>
          <w:p w14:paraId="1C76AFFD" w14:textId="77777777" w:rsidR="0042152D" w:rsidRPr="00F72525" w:rsidRDefault="0042152D" w:rsidP="0042152D">
            <w:pPr>
              <w:spacing w:after="60"/>
              <w:rPr>
                <w:lang w:val="en-GB"/>
              </w:rPr>
            </w:pPr>
            <w:r w:rsidRPr="00F72525">
              <w:rPr>
                <w:lang w:val="en-GB"/>
              </w:rPr>
              <w:t xml:space="preserve">The </w:t>
            </w:r>
            <w:r>
              <w:rPr>
                <w:lang w:val="en-GB"/>
              </w:rPr>
              <w:t>PSPO</w:t>
            </w:r>
            <w:r w:rsidRPr="00F72525">
              <w:rPr>
                <w:lang w:val="en-GB"/>
              </w:rPr>
              <w:t xml:space="preserve"> could have a negative impact for those with limited English who may not understand what is required when visiting a public place; they may be more likely to have enforcement action against them.</w:t>
            </w:r>
          </w:p>
          <w:p w14:paraId="104A3F74" w14:textId="77777777" w:rsidR="0042152D" w:rsidRPr="00F72525" w:rsidRDefault="0042152D" w:rsidP="0042152D">
            <w:pPr>
              <w:spacing w:after="60"/>
              <w:rPr>
                <w:lang w:val="en-GB"/>
              </w:rPr>
            </w:pPr>
            <w:r w:rsidRPr="00F72525">
              <w:rPr>
                <w:lang w:val="en-GB"/>
              </w:rPr>
              <w:t>In order to mitigate the potential negative impacts identified above the following mitigating actions have been identified</w:t>
            </w:r>
            <w:r>
              <w:rPr>
                <w:lang w:val="en-GB"/>
              </w:rPr>
              <w:t>:</w:t>
            </w:r>
          </w:p>
          <w:p w14:paraId="0B70F4A6" w14:textId="77777777" w:rsidR="0042152D" w:rsidRDefault="0042152D" w:rsidP="0042152D">
            <w:pPr>
              <w:pStyle w:val="ListParagraph"/>
              <w:numPr>
                <w:ilvl w:val="0"/>
                <w:numId w:val="12"/>
              </w:numPr>
              <w:spacing w:before="60" w:after="60"/>
              <w:ind w:left="318" w:hanging="284"/>
              <w:rPr>
                <w:lang w:val="en-GB"/>
              </w:rPr>
            </w:pPr>
            <w:r w:rsidRPr="00C32150">
              <w:rPr>
                <w:lang w:val="en-GB"/>
              </w:rPr>
              <w:t>Officers will use their discretion over the circumstances involved in any incident, making reasonable ad</w:t>
            </w:r>
            <w:r>
              <w:rPr>
                <w:lang w:val="en-GB"/>
              </w:rPr>
              <w:t>justments for lack of language.</w:t>
            </w:r>
          </w:p>
          <w:p w14:paraId="07663DEE" w14:textId="77777777" w:rsidR="0042152D" w:rsidRDefault="0042152D" w:rsidP="0042152D">
            <w:pPr>
              <w:pStyle w:val="ListParagraph"/>
              <w:numPr>
                <w:ilvl w:val="0"/>
                <w:numId w:val="12"/>
              </w:numPr>
              <w:spacing w:before="60" w:after="60"/>
              <w:ind w:left="317" w:hanging="283"/>
              <w:rPr>
                <w:lang w:val="en-GB"/>
              </w:rPr>
            </w:pPr>
            <w:r w:rsidRPr="00C32150">
              <w:rPr>
                <w:lang w:val="en-GB"/>
              </w:rPr>
              <w:t>A discussive, educational approach will always be taken first and a warning given</w:t>
            </w:r>
            <w:r>
              <w:rPr>
                <w:lang w:val="en-GB"/>
              </w:rPr>
              <w:t xml:space="preserve"> before any enforcement action.</w:t>
            </w:r>
          </w:p>
          <w:p w14:paraId="7B819B5A" w14:textId="77777777" w:rsidR="003F4905" w:rsidRDefault="0042152D" w:rsidP="005F6DC1">
            <w:pPr>
              <w:pStyle w:val="ListParagraph"/>
              <w:numPr>
                <w:ilvl w:val="0"/>
                <w:numId w:val="12"/>
              </w:numPr>
              <w:spacing w:before="60" w:after="60"/>
              <w:ind w:left="317" w:hanging="283"/>
              <w:rPr>
                <w:lang w:val="en-GB"/>
              </w:rPr>
            </w:pPr>
            <w:r w:rsidRPr="00C32150">
              <w:rPr>
                <w:lang w:val="en-GB"/>
              </w:rPr>
              <w:t xml:space="preserve">There will be publicity about the </w:t>
            </w:r>
            <w:r>
              <w:rPr>
                <w:lang w:val="en-GB"/>
              </w:rPr>
              <w:t>renewal</w:t>
            </w:r>
            <w:r w:rsidRPr="00C32150">
              <w:rPr>
                <w:lang w:val="en-GB"/>
              </w:rPr>
              <w:t xml:space="preserve"> of PSPOs and both temporary and permanent signage used to explain </w:t>
            </w:r>
            <w:r w:rsidRPr="00625F48">
              <w:rPr>
                <w:lang w:val="en-GB"/>
              </w:rPr>
              <w:t>the measures in place, using symbols where possible.</w:t>
            </w:r>
          </w:p>
          <w:p w14:paraId="2EFEA75D" w14:textId="5E84BBBF" w:rsidR="002F0B3F" w:rsidRPr="002F0B3F" w:rsidRDefault="00E107A5" w:rsidP="002F0B3F">
            <w:pPr>
              <w:spacing w:before="60" w:after="60"/>
              <w:ind w:left="34"/>
              <w:rPr>
                <w:lang w:val="en-GB"/>
              </w:rPr>
            </w:pPr>
            <w:r>
              <w:rPr>
                <w:lang w:val="en-GB"/>
              </w:rPr>
              <w:t>It was raised in the 2020 consultation that</w:t>
            </w:r>
            <w:r w:rsidR="00485BAC">
              <w:rPr>
                <w:lang w:val="en-GB"/>
              </w:rPr>
              <w:t xml:space="preserve"> </w:t>
            </w:r>
            <w:r w:rsidR="00485BAC" w:rsidRPr="00625F48">
              <w:rPr>
                <w:lang w:val="en-GB"/>
              </w:rPr>
              <w:t xml:space="preserve">PSPO could be used negatively against those whose homes are caravans, possibly referring at least in part to the travelling community. </w:t>
            </w:r>
            <w:r w:rsidR="00485BAC" w:rsidRPr="00625F48">
              <w:rPr>
                <w:lang w:val="en-GB"/>
              </w:rPr>
              <w:lastRenderedPageBreak/>
              <w:t>Presumably this refers to ASB Article 11 on camping/overnight sleeping and Article 20 on unauthorised motor vehicles.</w:t>
            </w:r>
            <w:r w:rsidR="00344526">
              <w:rPr>
                <w:lang w:val="en-GB"/>
              </w:rPr>
              <w:t xml:space="preserve"> </w:t>
            </w:r>
            <w:r w:rsidR="00344526" w:rsidRPr="00625F48">
              <w:rPr>
                <w:lang w:val="en-GB"/>
              </w:rPr>
              <w:t>These Articles apply to all persons and all vehicles</w:t>
            </w:r>
            <w:r w:rsidR="00344526">
              <w:rPr>
                <w:lang w:val="en-GB"/>
              </w:rPr>
              <w:t>.</w:t>
            </w:r>
            <w:r w:rsidR="00E1042F">
              <w:rPr>
                <w:lang w:val="en-GB"/>
              </w:rPr>
              <w:t xml:space="preserve"> Unauthorised traveller encampments are not dealt with using PSPOs, </w:t>
            </w:r>
            <w:r w:rsidR="00E97132">
              <w:rPr>
                <w:lang w:val="en-GB"/>
              </w:rPr>
              <w:t xml:space="preserve">other legislation or legal processes are used in these cases. </w:t>
            </w:r>
          </w:p>
        </w:tc>
      </w:tr>
      <w:tr w:rsidR="003F4905" w14:paraId="74165FBD" w14:textId="77777777" w:rsidTr="00A723EB">
        <w:tc>
          <w:tcPr>
            <w:tcW w:w="2870" w:type="dxa"/>
          </w:tcPr>
          <w:p w14:paraId="6E53AB66" w14:textId="77777777" w:rsidR="003F4905" w:rsidRDefault="003F4905" w:rsidP="005F6DC1">
            <w:pPr>
              <w:rPr>
                <w:b/>
                <w:lang w:val="en-GB"/>
              </w:rPr>
            </w:pPr>
            <w:r>
              <w:rPr>
                <w:b/>
                <w:lang w:val="en-GB"/>
              </w:rPr>
              <w:lastRenderedPageBreak/>
              <w:t xml:space="preserve">Religion and belief, including </w:t>
            </w:r>
            <w:proofErr w:type="spellStart"/>
            <w:r>
              <w:rPr>
                <w:b/>
                <w:lang w:val="en-GB"/>
              </w:rPr>
              <w:t>non belief</w:t>
            </w:r>
            <w:proofErr w:type="spellEnd"/>
          </w:p>
        </w:tc>
        <w:tc>
          <w:tcPr>
            <w:tcW w:w="4077" w:type="dxa"/>
          </w:tcPr>
          <w:p w14:paraId="1AE34EC9" w14:textId="504BCC14" w:rsidR="003F4905" w:rsidRDefault="0070152F" w:rsidP="0070152F">
            <w:pPr>
              <w:rPr>
                <w:b/>
                <w:lang w:val="en-GB"/>
              </w:rPr>
            </w:pPr>
            <w:r w:rsidRPr="00F72525">
              <w:rPr>
                <w:lang w:val="en-GB"/>
              </w:rPr>
              <w:t xml:space="preserve">The impact of the </w:t>
            </w:r>
            <w:r>
              <w:rPr>
                <w:lang w:val="en-GB"/>
              </w:rPr>
              <w:t>PSPO</w:t>
            </w:r>
            <w:r w:rsidRPr="00F72525">
              <w:rPr>
                <w:lang w:val="en-GB"/>
              </w:rPr>
              <w:t xml:space="preserve"> is neutral on the issue of </w:t>
            </w:r>
            <w:r>
              <w:rPr>
                <w:lang w:val="en-GB"/>
              </w:rPr>
              <w:t xml:space="preserve">religion and belief including </w:t>
            </w:r>
            <w:proofErr w:type="spellStart"/>
            <w:r>
              <w:rPr>
                <w:lang w:val="en-GB"/>
              </w:rPr>
              <w:t>non belief</w:t>
            </w:r>
            <w:proofErr w:type="spellEnd"/>
          </w:p>
        </w:tc>
        <w:tc>
          <w:tcPr>
            <w:tcW w:w="4111" w:type="dxa"/>
          </w:tcPr>
          <w:p w14:paraId="1D5229B2" w14:textId="224B3F3B" w:rsidR="003F4905" w:rsidRDefault="0070152F" w:rsidP="005F6DC1">
            <w:pPr>
              <w:rPr>
                <w:b/>
                <w:lang w:val="en-GB"/>
              </w:rPr>
            </w:pPr>
            <w:r w:rsidRPr="00F72525">
              <w:rPr>
                <w:lang w:val="en-GB"/>
              </w:rPr>
              <w:t xml:space="preserve">The impact of the </w:t>
            </w:r>
            <w:r>
              <w:rPr>
                <w:lang w:val="en-GB"/>
              </w:rPr>
              <w:t>PSPO</w:t>
            </w:r>
            <w:r w:rsidRPr="00F72525">
              <w:rPr>
                <w:lang w:val="en-GB"/>
              </w:rPr>
              <w:t xml:space="preserve"> is neutral on the issue of </w:t>
            </w:r>
            <w:r>
              <w:rPr>
                <w:lang w:val="en-GB"/>
              </w:rPr>
              <w:t xml:space="preserve">religion and belief including </w:t>
            </w:r>
            <w:proofErr w:type="spellStart"/>
            <w:r>
              <w:rPr>
                <w:lang w:val="en-GB"/>
              </w:rPr>
              <w:t>non belief</w:t>
            </w:r>
            <w:proofErr w:type="spellEnd"/>
          </w:p>
        </w:tc>
      </w:tr>
      <w:tr w:rsidR="003F4905" w14:paraId="12254EFA" w14:textId="77777777" w:rsidTr="00A723EB">
        <w:tc>
          <w:tcPr>
            <w:tcW w:w="2870" w:type="dxa"/>
          </w:tcPr>
          <w:p w14:paraId="1963B9D8" w14:textId="77777777" w:rsidR="003F4905" w:rsidRDefault="003F4905" w:rsidP="005F6DC1">
            <w:pPr>
              <w:rPr>
                <w:b/>
                <w:lang w:val="en-GB"/>
              </w:rPr>
            </w:pPr>
            <w:r>
              <w:rPr>
                <w:b/>
                <w:lang w:val="en-GB"/>
              </w:rPr>
              <w:t>Sexual orientation</w:t>
            </w:r>
          </w:p>
        </w:tc>
        <w:tc>
          <w:tcPr>
            <w:tcW w:w="4077" w:type="dxa"/>
          </w:tcPr>
          <w:p w14:paraId="21DD4167" w14:textId="1E531C73" w:rsidR="003F4905" w:rsidRDefault="009B45AF" w:rsidP="005F6DC1">
            <w:pPr>
              <w:rPr>
                <w:b/>
                <w:lang w:val="en-GB"/>
              </w:rPr>
            </w:pPr>
            <w:r w:rsidRPr="00F72525">
              <w:rPr>
                <w:lang w:val="en-GB"/>
              </w:rPr>
              <w:t>The increased presence in parks to implement the PSPO in the short-term may have the indirect beneficial impact of reducing or deterring hate crime and harassment incidents towards people on the basis of their sexual orientation.</w:t>
            </w:r>
          </w:p>
        </w:tc>
        <w:tc>
          <w:tcPr>
            <w:tcW w:w="4111" w:type="dxa"/>
          </w:tcPr>
          <w:p w14:paraId="387B4451" w14:textId="77777777" w:rsidR="00986917" w:rsidRPr="00F72525" w:rsidRDefault="00986917" w:rsidP="00986917">
            <w:pPr>
              <w:spacing w:after="60"/>
              <w:rPr>
                <w:lang w:val="en-GB"/>
              </w:rPr>
            </w:pPr>
            <w:r>
              <w:rPr>
                <w:lang w:val="en-GB"/>
              </w:rPr>
              <w:t>An issue w</w:t>
            </w:r>
            <w:r w:rsidRPr="00F72525">
              <w:rPr>
                <w:lang w:val="en-GB"/>
              </w:rPr>
              <w:t xml:space="preserve">as identified </w:t>
            </w:r>
            <w:r>
              <w:rPr>
                <w:lang w:val="en-GB"/>
              </w:rPr>
              <w:t xml:space="preserve">in 2017 </w:t>
            </w:r>
            <w:r w:rsidRPr="00F72525">
              <w:rPr>
                <w:lang w:val="en-GB"/>
              </w:rPr>
              <w:t>that could lead to a negative impact on people on the basis of their  sexual orientation.</w:t>
            </w:r>
          </w:p>
          <w:p w14:paraId="6BF8AF50" w14:textId="1A24A8B0" w:rsidR="00986917" w:rsidRDefault="00986917" w:rsidP="00986917">
            <w:pPr>
              <w:spacing w:after="60"/>
              <w:rPr>
                <w:lang w:val="en-GB"/>
              </w:rPr>
            </w:pPr>
            <w:proofErr w:type="gramStart"/>
            <w:r>
              <w:rPr>
                <w:lang w:val="en-GB"/>
              </w:rPr>
              <w:t>Anti-social Behaviour Article 18,</w:t>
            </w:r>
            <w:proofErr w:type="gramEnd"/>
            <w:r>
              <w:rPr>
                <w:lang w:val="en-GB"/>
              </w:rPr>
              <w:t xml:space="preserve"> wa</w:t>
            </w:r>
            <w:r w:rsidRPr="00F72525">
              <w:rPr>
                <w:lang w:val="en-GB"/>
              </w:rPr>
              <w:t xml:space="preserve">s a new provision </w:t>
            </w:r>
            <w:r>
              <w:rPr>
                <w:lang w:val="en-GB"/>
              </w:rPr>
              <w:t>giving</w:t>
            </w:r>
            <w:r w:rsidRPr="00F72525">
              <w:rPr>
                <w:lang w:val="en-GB"/>
              </w:rPr>
              <w:t xml:space="preserve"> the ability for officers to penalise a person engaging in lewd or sexually explicit behaviour that is likely to cause harassment, alarm or distress to other people. Rather than stopping public sex completely, this </w:t>
            </w:r>
            <w:r>
              <w:rPr>
                <w:lang w:val="en-GB"/>
              </w:rPr>
              <w:t>measure</w:t>
            </w:r>
            <w:r w:rsidRPr="00F72525">
              <w:rPr>
                <w:lang w:val="en-GB"/>
              </w:rPr>
              <w:t xml:space="preserve"> is aimed at preventing acts taking place in very public areas where they are observed by others including vulnerable people and children. </w:t>
            </w:r>
          </w:p>
          <w:p w14:paraId="55626979" w14:textId="77777777" w:rsidR="003F4905" w:rsidRDefault="00986917" w:rsidP="00986917">
            <w:pPr>
              <w:rPr>
                <w:lang w:val="en-GB"/>
              </w:rPr>
            </w:pPr>
            <w:r>
              <w:rPr>
                <w:lang w:val="en-GB"/>
              </w:rPr>
              <w:t>No formal enforcement has been undertaken under this Article since 2017</w:t>
            </w:r>
            <w:r w:rsidR="00BD71D0">
              <w:rPr>
                <w:lang w:val="en-GB"/>
              </w:rPr>
              <w:t xml:space="preserve">. </w:t>
            </w:r>
          </w:p>
          <w:p w14:paraId="17C8802A" w14:textId="77777777" w:rsidR="00BD71D0" w:rsidRDefault="00BD71D0" w:rsidP="00986917">
            <w:pPr>
              <w:rPr>
                <w:b/>
                <w:lang w:val="en-GB"/>
              </w:rPr>
            </w:pPr>
          </w:p>
          <w:p w14:paraId="26EE12E1" w14:textId="43174E41" w:rsidR="00795F13" w:rsidRPr="00F72525" w:rsidRDefault="00BD71D0" w:rsidP="00BD71D0">
            <w:pPr>
              <w:spacing w:after="60"/>
              <w:rPr>
                <w:lang w:val="en-GB"/>
              </w:rPr>
            </w:pPr>
            <w:r w:rsidRPr="005A479B">
              <w:rPr>
                <w:lang w:val="en-GB"/>
              </w:rPr>
              <w:t xml:space="preserve">The Article applies to all persons and all couples of any </w:t>
            </w:r>
            <w:r w:rsidRPr="00F72525">
              <w:rPr>
                <w:lang w:val="en-GB"/>
              </w:rPr>
              <w:t>gender or sexual orientation. It covers acts that are already illegal</w:t>
            </w:r>
            <w:r>
              <w:rPr>
                <w:lang w:val="en-GB"/>
              </w:rPr>
              <w:t xml:space="preserve"> which would typically be</w:t>
            </w:r>
            <w:r w:rsidRPr="00F72525">
              <w:rPr>
                <w:lang w:val="en-GB"/>
              </w:rPr>
              <w:t xml:space="preserve"> dealt with by the police.</w:t>
            </w:r>
          </w:p>
          <w:p w14:paraId="3C300D22" w14:textId="77777777" w:rsidR="00795F13" w:rsidRPr="005A479B" w:rsidRDefault="00795F13" w:rsidP="00795F13">
            <w:pPr>
              <w:spacing w:after="60"/>
              <w:rPr>
                <w:lang w:val="en-GB"/>
              </w:rPr>
            </w:pPr>
            <w:r w:rsidRPr="005A479B">
              <w:rPr>
                <w:lang w:val="en-GB"/>
              </w:rPr>
              <w:t xml:space="preserve">During the 2020 consultation, two residents raised the issue that the measure could be used negatively against the LGBT+ community. Whilst the PSPO would be applied in an even manner as outlined above, the following steps were taken to mitigate this potential negative impact: </w:t>
            </w:r>
          </w:p>
          <w:p w14:paraId="1A74B010" w14:textId="77777777" w:rsidR="00795F13" w:rsidRPr="005A479B" w:rsidRDefault="00795F13" w:rsidP="00795F13">
            <w:pPr>
              <w:pStyle w:val="ListParagraph"/>
              <w:numPr>
                <w:ilvl w:val="0"/>
                <w:numId w:val="13"/>
              </w:numPr>
              <w:spacing w:after="60"/>
              <w:ind w:left="317" w:hanging="317"/>
              <w:rPr>
                <w:lang w:val="en-GB"/>
              </w:rPr>
            </w:pPr>
            <w:r w:rsidRPr="005A479B">
              <w:rPr>
                <w:lang w:val="en-GB"/>
              </w:rPr>
              <w:t xml:space="preserve">Officers will consult Richmond LGBT Forum about implementation of the </w:t>
            </w:r>
            <w:r w:rsidRPr="005A479B">
              <w:rPr>
                <w:lang w:val="en-GB"/>
              </w:rPr>
              <w:lastRenderedPageBreak/>
              <w:t>order and any training / advice for patrol officers.</w:t>
            </w:r>
          </w:p>
          <w:p w14:paraId="09932012" w14:textId="77777777" w:rsidR="00795F13" w:rsidRPr="005A479B" w:rsidRDefault="00795F13" w:rsidP="00795F13">
            <w:pPr>
              <w:pStyle w:val="ListParagraph"/>
              <w:numPr>
                <w:ilvl w:val="0"/>
                <w:numId w:val="13"/>
              </w:numPr>
              <w:spacing w:after="60"/>
              <w:ind w:left="317" w:hanging="317"/>
              <w:rPr>
                <w:lang w:val="en-GB"/>
              </w:rPr>
            </w:pPr>
            <w:r w:rsidRPr="005A479B">
              <w:rPr>
                <w:lang w:val="en-GB"/>
              </w:rPr>
              <w:t>There will be publicity about the renewal of PSPOs and both temporary and permanent signage used to explain the measures in place.</w:t>
            </w:r>
          </w:p>
          <w:p w14:paraId="6C42063D" w14:textId="77777777" w:rsidR="00795F13" w:rsidRPr="005A479B" w:rsidRDefault="00795F13" w:rsidP="00795F13">
            <w:pPr>
              <w:pStyle w:val="ListParagraph"/>
              <w:numPr>
                <w:ilvl w:val="0"/>
                <w:numId w:val="13"/>
              </w:numPr>
              <w:spacing w:after="60"/>
              <w:ind w:left="317" w:hanging="317"/>
              <w:rPr>
                <w:lang w:val="en-GB"/>
              </w:rPr>
            </w:pPr>
            <w:r w:rsidRPr="005A479B">
              <w:rPr>
                <w:lang w:val="en-GB"/>
              </w:rPr>
              <w:t>Parkguard officers would undergo Equality and Diversity training before deployment (this is standard practice).</w:t>
            </w:r>
          </w:p>
          <w:p w14:paraId="21995F75" w14:textId="77777777" w:rsidR="00795F13" w:rsidRDefault="00795F13" w:rsidP="00795F13">
            <w:pPr>
              <w:pStyle w:val="ListParagraph"/>
              <w:numPr>
                <w:ilvl w:val="0"/>
                <w:numId w:val="13"/>
              </w:numPr>
              <w:spacing w:after="60"/>
              <w:ind w:left="317" w:hanging="317"/>
              <w:rPr>
                <w:lang w:val="en-GB"/>
              </w:rPr>
            </w:pPr>
            <w:r w:rsidRPr="005A479B">
              <w:rPr>
                <w:lang w:val="en-GB"/>
              </w:rPr>
              <w:t>A considered, educational approach is always be taken first and a warning given before any enforcement action.</w:t>
            </w:r>
          </w:p>
          <w:p w14:paraId="4022CD28" w14:textId="4080A07B" w:rsidR="00BD71D0" w:rsidRPr="00795F13" w:rsidRDefault="00795F13" w:rsidP="00795F13">
            <w:pPr>
              <w:pStyle w:val="ListParagraph"/>
              <w:numPr>
                <w:ilvl w:val="0"/>
                <w:numId w:val="13"/>
              </w:numPr>
              <w:spacing w:after="60"/>
              <w:ind w:left="317" w:hanging="317"/>
              <w:rPr>
                <w:lang w:val="en-GB"/>
              </w:rPr>
            </w:pPr>
            <w:r w:rsidRPr="00795F13">
              <w:rPr>
                <w:lang w:val="en-GB"/>
              </w:rPr>
              <w:t>Enforcement approach, tolerance levels and use of discretion reviewed on an ongoing basis</w:t>
            </w:r>
          </w:p>
        </w:tc>
      </w:tr>
      <w:tr w:rsidR="00726F6A" w14:paraId="3453CE9C" w14:textId="77777777" w:rsidTr="00A723EB">
        <w:tc>
          <w:tcPr>
            <w:tcW w:w="2870" w:type="dxa"/>
          </w:tcPr>
          <w:p w14:paraId="5504EDDE" w14:textId="77777777" w:rsidR="00726F6A" w:rsidRDefault="00726F6A" w:rsidP="00726F6A">
            <w:pPr>
              <w:rPr>
                <w:b/>
                <w:lang w:val="en-GB"/>
              </w:rPr>
            </w:pPr>
            <w:r>
              <w:rPr>
                <w:b/>
                <w:lang w:val="en-GB"/>
              </w:rPr>
              <w:lastRenderedPageBreak/>
              <w:t>Socio-economic status</w:t>
            </w:r>
          </w:p>
          <w:p w14:paraId="39262F79" w14:textId="77777777" w:rsidR="00726F6A" w:rsidRDefault="00726F6A" w:rsidP="00726F6A">
            <w:pPr>
              <w:rPr>
                <w:b/>
                <w:lang w:val="en-GB"/>
              </w:rPr>
            </w:pPr>
            <w:r>
              <w:rPr>
                <w:b/>
                <w:lang w:val="en-GB"/>
              </w:rPr>
              <w:t xml:space="preserve">(to be treated as a protected characteristic under Section 1 of the Equality Act 2010) </w:t>
            </w:r>
          </w:p>
          <w:p w14:paraId="08F7F5EC" w14:textId="77777777" w:rsidR="00726F6A" w:rsidRDefault="00726F6A" w:rsidP="00726F6A">
            <w:pPr>
              <w:rPr>
                <w:b/>
                <w:lang w:val="en-GB"/>
              </w:rPr>
            </w:pPr>
            <w:r>
              <w:rPr>
                <w:b/>
                <w:lang w:val="en-GB"/>
              </w:rPr>
              <w:t>Include the following groups:</w:t>
            </w:r>
          </w:p>
          <w:p w14:paraId="2BA224B8" w14:textId="77777777" w:rsidR="00726F6A" w:rsidRPr="004F74B4" w:rsidRDefault="00726F6A" w:rsidP="00726F6A">
            <w:pPr>
              <w:pStyle w:val="ListParagraph"/>
              <w:numPr>
                <w:ilvl w:val="0"/>
                <w:numId w:val="8"/>
              </w:numPr>
              <w:ind w:left="417"/>
              <w:rPr>
                <w:b/>
                <w:lang w:val="en-GB"/>
              </w:rPr>
            </w:pPr>
            <w:r w:rsidRPr="004F74B4">
              <w:rPr>
                <w:b/>
                <w:lang w:val="en-GB"/>
              </w:rPr>
              <w:t>Deprivation (measured by the 2019 English Indices of Deprivation)</w:t>
            </w:r>
          </w:p>
          <w:p w14:paraId="06677359" w14:textId="77777777" w:rsidR="00726F6A" w:rsidRPr="004F74B4" w:rsidRDefault="00726F6A" w:rsidP="00726F6A">
            <w:pPr>
              <w:pStyle w:val="ListParagraph"/>
              <w:numPr>
                <w:ilvl w:val="0"/>
                <w:numId w:val="8"/>
              </w:numPr>
              <w:ind w:left="417"/>
              <w:rPr>
                <w:b/>
                <w:lang w:val="en-GB"/>
              </w:rPr>
            </w:pPr>
            <w:r w:rsidRPr="004F74B4">
              <w:rPr>
                <w:b/>
                <w:lang w:val="en-GB"/>
              </w:rPr>
              <w:t xml:space="preserve">Low-income groups &amp; employment </w:t>
            </w:r>
          </w:p>
          <w:p w14:paraId="49C0E244" w14:textId="77777777" w:rsidR="00726F6A" w:rsidRPr="004F74B4" w:rsidRDefault="00726F6A" w:rsidP="00726F6A">
            <w:pPr>
              <w:pStyle w:val="ListParagraph"/>
              <w:numPr>
                <w:ilvl w:val="0"/>
                <w:numId w:val="8"/>
              </w:numPr>
              <w:ind w:left="417"/>
              <w:rPr>
                <w:b/>
                <w:lang w:val="en-GB"/>
              </w:rPr>
            </w:pPr>
            <w:r w:rsidRPr="004F74B4">
              <w:rPr>
                <w:b/>
                <w:lang w:val="en-GB"/>
              </w:rPr>
              <w:t>Carers</w:t>
            </w:r>
          </w:p>
          <w:p w14:paraId="07B528BE" w14:textId="77777777" w:rsidR="00726F6A" w:rsidRPr="004F74B4" w:rsidRDefault="00726F6A" w:rsidP="00726F6A">
            <w:pPr>
              <w:pStyle w:val="ListParagraph"/>
              <w:numPr>
                <w:ilvl w:val="0"/>
                <w:numId w:val="8"/>
              </w:numPr>
              <w:ind w:left="417"/>
              <w:rPr>
                <w:b/>
                <w:lang w:val="en-GB"/>
              </w:rPr>
            </w:pPr>
            <w:r w:rsidRPr="004F74B4">
              <w:rPr>
                <w:b/>
                <w:lang w:val="en-GB"/>
              </w:rPr>
              <w:t>Care experienced people</w:t>
            </w:r>
          </w:p>
          <w:p w14:paraId="4BE8B2ED" w14:textId="77777777" w:rsidR="00726F6A" w:rsidRPr="004F74B4" w:rsidRDefault="00726F6A" w:rsidP="00726F6A">
            <w:pPr>
              <w:pStyle w:val="ListParagraph"/>
              <w:numPr>
                <w:ilvl w:val="0"/>
                <w:numId w:val="8"/>
              </w:numPr>
              <w:ind w:left="417"/>
              <w:rPr>
                <w:b/>
                <w:lang w:val="en-GB"/>
              </w:rPr>
            </w:pPr>
            <w:r w:rsidRPr="004F74B4">
              <w:rPr>
                <w:b/>
                <w:lang w:val="en-GB"/>
              </w:rPr>
              <w:t>Single parents</w:t>
            </w:r>
          </w:p>
          <w:p w14:paraId="392506E3" w14:textId="77777777" w:rsidR="00726F6A" w:rsidRPr="004F74B4" w:rsidRDefault="00726F6A" w:rsidP="00726F6A">
            <w:pPr>
              <w:pStyle w:val="ListParagraph"/>
              <w:numPr>
                <w:ilvl w:val="0"/>
                <w:numId w:val="8"/>
              </w:numPr>
              <w:ind w:left="417"/>
              <w:rPr>
                <w:b/>
                <w:lang w:val="en-GB"/>
              </w:rPr>
            </w:pPr>
            <w:r w:rsidRPr="004F74B4">
              <w:rPr>
                <w:b/>
                <w:lang w:val="en-GB"/>
              </w:rPr>
              <w:t xml:space="preserve">Health inequalities </w:t>
            </w:r>
          </w:p>
          <w:p w14:paraId="29F8190A" w14:textId="5C8615AB" w:rsidR="00726F6A" w:rsidRPr="00726F6A" w:rsidRDefault="00726F6A" w:rsidP="00726F6A">
            <w:pPr>
              <w:pStyle w:val="ListParagraph"/>
              <w:numPr>
                <w:ilvl w:val="0"/>
                <w:numId w:val="8"/>
              </w:numPr>
              <w:ind w:left="417"/>
              <w:rPr>
                <w:b/>
                <w:lang w:val="en-GB"/>
              </w:rPr>
            </w:pPr>
            <w:r w:rsidRPr="00726F6A">
              <w:rPr>
                <w:b/>
                <w:lang w:val="en-GB"/>
              </w:rPr>
              <w:t>Refugee status</w:t>
            </w:r>
          </w:p>
        </w:tc>
        <w:tc>
          <w:tcPr>
            <w:tcW w:w="4077" w:type="dxa"/>
          </w:tcPr>
          <w:p w14:paraId="44ABA443" w14:textId="77777777" w:rsidR="00D2330E" w:rsidRDefault="002F4F67" w:rsidP="00726F6A">
            <w:pPr>
              <w:rPr>
                <w:lang w:val="en-GB"/>
              </w:rPr>
            </w:pPr>
            <w:r w:rsidRPr="00625F48">
              <w:rPr>
                <w:lang w:val="en-GB"/>
              </w:rPr>
              <w:t xml:space="preserve">Reducing anti-social and irresponsible behaviour and fear for personal safety may encourage people </w:t>
            </w:r>
            <w:r w:rsidR="00ED3B25">
              <w:rPr>
                <w:lang w:val="en-GB"/>
              </w:rPr>
              <w:t xml:space="preserve">who </w:t>
            </w:r>
            <w:r w:rsidR="00D6110A">
              <w:rPr>
                <w:lang w:val="en-GB"/>
              </w:rPr>
              <w:t xml:space="preserve">are care </w:t>
            </w:r>
            <w:r w:rsidR="00ED3B25">
              <w:rPr>
                <w:lang w:val="en-GB"/>
              </w:rPr>
              <w:t>experienc</w:t>
            </w:r>
            <w:r w:rsidR="00D6110A">
              <w:rPr>
                <w:lang w:val="en-GB"/>
              </w:rPr>
              <w:t xml:space="preserve">ed </w:t>
            </w:r>
            <w:r w:rsidR="008D6989">
              <w:rPr>
                <w:lang w:val="en-GB"/>
              </w:rPr>
              <w:t>to access their parks and open spaces more</w:t>
            </w:r>
            <w:r w:rsidR="00EE4E8A">
              <w:rPr>
                <w:lang w:val="en-GB"/>
              </w:rPr>
              <w:t xml:space="preserve">. </w:t>
            </w:r>
          </w:p>
          <w:p w14:paraId="555C822B" w14:textId="77777777" w:rsidR="00D2330E" w:rsidRDefault="00D2330E" w:rsidP="00726F6A">
            <w:pPr>
              <w:rPr>
                <w:lang w:val="en-GB"/>
              </w:rPr>
            </w:pPr>
          </w:p>
          <w:p w14:paraId="2DE567CE" w14:textId="0B082210" w:rsidR="00726F6A" w:rsidRDefault="00EE4E8A" w:rsidP="00726F6A">
            <w:pPr>
              <w:rPr>
                <w:b/>
                <w:lang w:val="en-GB"/>
              </w:rPr>
            </w:pPr>
            <w:r>
              <w:rPr>
                <w:lang w:val="en-GB"/>
              </w:rPr>
              <w:t xml:space="preserve">By reducing the anti-social behaviour </w:t>
            </w:r>
            <w:r w:rsidR="00986E86">
              <w:rPr>
                <w:lang w:val="en-GB"/>
              </w:rPr>
              <w:t xml:space="preserve">and fear for personal safety </w:t>
            </w:r>
            <w:r>
              <w:rPr>
                <w:lang w:val="en-GB"/>
              </w:rPr>
              <w:t xml:space="preserve">in parks and open spaces </w:t>
            </w:r>
            <w:r w:rsidR="00451488">
              <w:rPr>
                <w:lang w:val="en-GB"/>
              </w:rPr>
              <w:t xml:space="preserve">it is ensuring that these free spaces are </w:t>
            </w:r>
            <w:r>
              <w:rPr>
                <w:lang w:val="en-GB"/>
              </w:rPr>
              <w:t xml:space="preserve">accessible for </w:t>
            </w:r>
            <w:r w:rsidR="00451488">
              <w:rPr>
                <w:lang w:val="en-GB"/>
              </w:rPr>
              <w:t xml:space="preserve">people with </w:t>
            </w:r>
            <w:r>
              <w:rPr>
                <w:lang w:val="en-GB"/>
              </w:rPr>
              <w:t xml:space="preserve">low-income groups who </w:t>
            </w:r>
            <w:r w:rsidR="00451488">
              <w:rPr>
                <w:lang w:val="en-GB"/>
              </w:rPr>
              <w:t>need them to exercise</w:t>
            </w:r>
            <w:r w:rsidR="00D115CA">
              <w:rPr>
                <w:lang w:val="en-GB"/>
              </w:rPr>
              <w:t>.</w:t>
            </w:r>
          </w:p>
        </w:tc>
        <w:tc>
          <w:tcPr>
            <w:tcW w:w="4111" w:type="dxa"/>
          </w:tcPr>
          <w:p w14:paraId="619B5135" w14:textId="7629717F" w:rsidR="008A2131" w:rsidRPr="008A2131" w:rsidRDefault="00344526" w:rsidP="008A2131">
            <w:pPr>
              <w:rPr>
                <w:lang w:val="en-GB"/>
              </w:rPr>
            </w:pPr>
            <w:r w:rsidRPr="00F72525">
              <w:rPr>
                <w:lang w:val="en-GB"/>
              </w:rPr>
              <w:t xml:space="preserve">The </w:t>
            </w:r>
            <w:r w:rsidR="00AA0E55">
              <w:rPr>
                <w:lang w:val="en-GB"/>
              </w:rPr>
              <w:t xml:space="preserve">negative </w:t>
            </w:r>
            <w:r w:rsidRPr="00F72525">
              <w:rPr>
                <w:lang w:val="en-GB"/>
              </w:rPr>
              <w:t xml:space="preserve">impact of the </w:t>
            </w:r>
            <w:r>
              <w:rPr>
                <w:lang w:val="en-GB"/>
              </w:rPr>
              <w:t>PSPO</w:t>
            </w:r>
            <w:r w:rsidRPr="00F72525">
              <w:rPr>
                <w:lang w:val="en-GB"/>
              </w:rPr>
              <w:t xml:space="preserve"> is neutral on </w:t>
            </w:r>
            <w:r w:rsidR="00622402">
              <w:rPr>
                <w:lang w:val="en-GB"/>
              </w:rPr>
              <w:t xml:space="preserve">most </w:t>
            </w:r>
            <w:r>
              <w:rPr>
                <w:lang w:val="en-GB"/>
              </w:rPr>
              <w:t>Socio-economic status</w:t>
            </w:r>
            <w:r w:rsidR="00622402">
              <w:rPr>
                <w:lang w:val="en-GB"/>
              </w:rPr>
              <w:t>es</w:t>
            </w:r>
            <w:r w:rsidR="00BC5B6E">
              <w:rPr>
                <w:lang w:val="en-GB"/>
              </w:rPr>
              <w:t xml:space="preserve"> however it could have a neg</w:t>
            </w:r>
            <w:r w:rsidR="00F54F67">
              <w:rPr>
                <w:lang w:val="en-GB"/>
              </w:rPr>
              <w:t xml:space="preserve">ative impact on those with </w:t>
            </w:r>
            <w:r w:rsidR="00622402">
              <w:rPr>
                <w:lang w:val="en-GB"/>
              </w:rPr>
              <w:t xml:space="preserve">health conditions regarding the Article on public urination. </w:t>
            </w:r>
            <w:r w:rsidR="008A2131">
              <w:rPr>
                <w:lang w:val="en-GB"/>
              </w:rPr>
              <w:t>However</w:t>
            </w:r>
            <w:r w:rsidR="008A2131" w:rsidRPr="008A2131">
              <w:rPr>
                <w:lang w:val="en-GB"/>
              </w:rPr>
              <w:t xml:space="preserve"> </w:t>
            </w:r>
            <w:r w:rsidR="008A2131">
              <w:rPr>
                <w:lang w:val="en-GB"/>
              </w:rPr>
              <w:t>o</w:t>
            </w:r>
            <w:r w:rsidR="008A2131" w:rsidRPr="008A2131">
              <w:rPr>
                <w:lang w:val="en-GB"/>
              </w:rPr>
              <w:t xml:space="preserve">fficers will use their discretion over the circumstances involved in any incident, making reasonable adjustments for </w:t>
            </w:r>
            <w:r w:rsidR="008A2131">
              <w:rPr>
                <w:lang w:val="en-GB"/>
              </w:rPr>
              <w:t xml:space="preserve">health conditions. There is also options to appeal any FPN which has been given should the </w:t>
            </w:r>
            <w:r w:rsidR="00843AFE">
              <w:rPr>
                <w:lang w:val="en-GB"/>
              </w:rPr>
              <w:t xml:space="preserve">person not wish to disclose personal information at the time. </w:t>
            </w:r>
          </w:p>
          <w:p w14:paraId="3EED20A3" w14:textId="77777777" w:rsidR="00941689" w:rsidRDefault="00941689" w:rsidP="00726F6A">
            <w:pPr>
              <w:rPr>
                <w:b/>
                <w:lang w:val="en-GB"/>
              </w:rPr>
            </w:pPr>
          </w:p>
          <w:p w14:paraId="7199DF31" w14:textId="0C24D7F8" w:rsidR="007E7B59" w:rsidRPr="00F72525" w:rsidRDefault="007E7B59" w:rsidP="007E7B59">
            <w:pPr>
              <w:spacing w:after="60"/>
              <w:rPr>
                <w:lang w:val="en-GB"/>
              </w:rPr>
            </w:pPr>
            <w:r>
              <w:rPr>
                <w:bCs/>
                <w:lang w:val="en-GB"/>
              </w:rPr>
              <w:t>I</w:t>
            </w:r>
            <w:r w:rsidR="00941689" w:rsidRPr="007E7B59">
              <w:rPr>
                <w:bCs/>
                <w:lang w:val="en-GB"/>
              </w:rPr>
              <w:t xml:space="preserve">n terms of refugee status the </w:t>
            </w:r>
            <w:r>
              <w:rPr>
                <w:lang w:val="en-GB"/>
              </w:rPr>
              <w:t>PSPO</w:t>
            </w:r>
            <w:r w:rsidRPr="00F72525">
              <w:rPr>
                <w:lang w:val="en-GB"/>
              </w:rPr>
              <w:t xml:space="preserve"> could have a negative impact for those with limited English who may not understand what is required when visiting a public place; they may be more likely to have enforcement action against them.</w:t>
            </w:r>
          </w:p>
          <w:p w14:paraId="3714566F" w14:textId="77777777" w:rsidR="007E7B59" w:rsidRPr="00F72525" w:rsidRDefault="007E7B59" w:rsidP="007E7B59">
            <w:pPr>
              <w:spacing w:after="60"/>
              <w:rPr>
                <w:lang w:val="en-GB"/>
              </w:rPr>
            </w:pPr>
            <w:r w:rsidRPr="00F72525">
              <w:rPr>
                <w:lang w:val="en-GB"/>
              </w:rPr>
              <w:t>In order to mitigate the potential negative impacts identified above the following mitigating actions have been identified</w:t>
            </w:r>
            <w:r>
              <w:rPr>
                <w:lang w:val="en-GB"/>
              </w:rPr>
              <w:t>:</w:t>
            </w:r>
          </w:p>
          <w:p w14:paraId="2244AF13" w14:textId="77777777" w:rsidR="007E7B59" w:rsidRDefault="007E7B59" w:rsidP="007E7B59">
            <w:pPr>
              <w:pStyle w:val="ListParagraph"/>
              <w:numPr>
                <w:ilvl w:val="0"/>
                <w:numId w:val="12"/>
              </w:numPr>
              <w:spacing w:before="60" w:after="60"/>
              <w:ind w:left="318" w:hanging="284"/>
              <w:rPr>
                <w:lang w:val="en-GB"/>
              </w:rPr>
            </w:pPr>
            <w:r w:rsidRPr="00C32150">
              <w:rPr>
                <w:lang w:val="en-GB"/>
              </w:rPr>
              <w:t xml:space="preserve">Officers will use their discretion over the circumstances involved in any </w:t>
            </w:r>
            <w:r w:rsidRPr="00C32150">
              <w:rPr>
                <w:lang w:val="en-GB"/>
              </w:rPr>
              <w:lastRenderedPageBreak/>
              <w:t>incident, making reasonable ad</w:t>
            </w:r>
            <w:r>
              <w:rPr>
                <w:lang w:val="en-GB"/>
              </w:rPr>
              <w:t>justments for lack of language.</w:t>
            </w:r>
          </w:p>
          <w:p w14:paraId="3FFD4212" w14:textId="77777777" w:rsidR="007E7B59" w:rsidRDefault="007E7B59" w:rsidP="007E7B59">
            <w:pPr>
              <w:pStyle w:val="ListParagraph"/>
              <w:numPr>
                <w:ilvl w:val="0"/>
                <w:numId w:val="12"/>
              </w:numPr>
              <w:spacing w:before="60" w:after="60"/>
              <w:ind w:left="317" w:hanging="283"/>
              <w:rPr>
                <w:lang w:val="en-GB"/>
              </w:rPr>
            </w:pPr>
            <w:r w:rsidRPr="00C32150">
              <w:rPr>
                <w:lang w:val="en-GB"/>
              </w:rPr>
              <w:t>A discussive, educational approach will always be taken first and a warning given</w:t>
            </w:r>
            <w:r>
              <w:rPr>
                <w:lang w:val="en-GB"/>
              </w:rPr>
              <w:t xml:space="preserve"> before any enforcement action.</w:t>
            </w:r>
          </w:p>
          <w:p w14:paraId="71DC8208" w14:textId="77777777" w:rsidR="007E7B59" w:rsidRDefault="007E7B59" w:rsidP="007E7B59">
            <w:pPr>
              <w:pStyle w:val="ListParagraph"/>
              <w:numPr>
                <w:ilvl w:val="0"/>
                <w:numId w:val="12"/>
              </w:numPr>
              <w:spacing w:before="60" w:after="60"/>
              <w:ind w:left="317" w:hanging="283"/>
              <w:rPr>
                <w:lang w:val="en-GB"/>
              </w:rPr>
            </w:pPr>
            <w:r w:rsidRPr="00C32150">
              <w:rPr>
                <w:lang w:val="en-GB"/>
              </w:rPr>
              <w:t xml:space="preserve">There will be publicity about the </w:t>
            </w:r>
            <w:r>
              <w:rPr>
                <w:lang w:val="en-GB"/>
              </w:rPr>
              <w:t>renewal</w:t>
            </w:r>
            <w:r w:rsidRPr="00C32150">
              <w:rPr>
                <w:lang w:val="en-GB"/>
              </w:rPr>
              <w:t xml:space="preserve"> of PSPOs and both temporary and permanent signage used to explain </w:t>
            </w:r>
            <w:r w:rsidRPr="00625F48">
              <w:rPr>
                <w:lang w:val="en-GB"/>
              </w:rPr>
              <w:t>the measures in place, using symbols where possible.</w:t>
            </w:r>
          </w:p>
          <w:p w14:paraId="54CC1523" w14:textId="3375506A" w:rsidR="00941689" w:rsidRDefault="00941689" w:rsidP="00726F6A">
            <w:pPr>
              <w:rPr>
                <w:b/>
                <w:lang w:val="en-GB"/>
              </w:rPr>
            </w:pPr>
          </w:p>
        </w:tc>
      </w:tr>
    </w:tbl>
    <w:p w14:paraId="06B17C74" w14:textId="77777777" w:rsidR="003F4905" w:rsidRDefault="003F4905" w:rsidP="00097418">
      <w:pPr>
        <w:rPr>
          <w:b/>
          <w:lang w:val="en-GB"/>
        </w:rPr>
      </w:pPr>
    </w:p>
    <w:p w14:paraId="703F25F6" w14:textId="67E0BD67" w:rsidR="00BE2FE6" w:rsidRPr="00BE2FE6" w:rsidRDefault="00BE2FE6" w:rsidP="004E0F4F">
      <w:pPr>
        <w:pStyle w:val="ListParagraph"/>
        <w:numPr>
          <w:ilvl w:val="0"/>
          <w:numId w:val="7"/>
        </w:numPr>
        <w:ind w:left="0" w:hanging="284"/>
        <w:rPr>
          <w:b/>
          <w:lang w:val="en-GB"/>
        </w:rPr>
      </w:pPr>
      <w:r w:rsidRPr="00BE2FE6">
        <w:rPr>
          <w:b/>
          <w:lang w:val="en-GB"/>
        </w:rPr>
        <w:t>Actions</w:t>
      </w:r>
      <w:r w:rsidR="006F44AD">
        <w:rPr>
          <w:b/>
          <w:lang w:val="en-GB"/>
        </w:rPr>
        <w:t xml:space="preserve"> </w:t>
      </w:r>
      <w:r w:rsidR="0038086B" w:rsidRPr="0038086B">
        <w:rPr>
          <w:b/>
          <w:lang w:val="en-GB"/>
        </w:rPr>
        <w:t>to advance equality, diversity and inclusion</w:t>
      </w:r>
    </w:p>
    <w:p w14:paraId="3161C58A" w14:textId="77777777" w:rsidR="00B206E6" w:rsidRDefault="00B206E6" w:rsidP="00097418">
      <w:pPr>
        <w:rPr>
          <w:lang w:val="en-GB"/>
        </w:rPr>
      </w:pPr>
    </w:p>
    <w:tbl>
      <w:tblPr>
        <w:tblStyle w:val="TableGrid"/>
        <w:tblW w:w="11058" w:type="dxa"/>
        <w:tblInd w:w="-998" w:type="dxa"/>
        <w:tblLook w:val="04A0" w:firstRow="1" w:lastRow="0" w:firstColumn="1" w:lastColumn="0" w:noHBand="0" w:noVBand="1"/>
      </w:tblPr>
      <w:tblGrid>
        <w:gridCol w:w="7388"/>
        <w:gridCol w:w="1827"/>
        <w:gridCol w:w="1843"/>
      </w:tblGrid>
      <w:tr w:rsidR="00BE2FE6" w14:paraId="622E3515" w14:textId="77777777" w:rsidTr="004F0F6B">
        <w:tc>
          <w:tcPr>
            <w:tcW w:w="7388" w:type="dxa"/>
            <w:shd w:val="clear" w:color="auto" w:fill="DEEAF6" w:themeFill="accent1" w:themeFillTint="33"/>
          </w:tcPr>
          <w:p w14:paraId="748FB652" w14:textId="79E7FF9A" w:rsidR="00BE2FE6" w:rsidRPr="006F44AD" w:rsidRDefault="00BE2FE6" w:rsidP="00097418">
            <w:pPr>
              <w:rPr>
                <w:b/>
                <w:lang w:val="en-GB"/>
              </w:rPr>
            </w:pPr>
            <w:r w:rsidRPr="006F44AD">
              <w:rPr>
                <w:b/>
                <w:lang w:val="en-GB"/>
              </w:rPr>
              <w:t>Action</w:t>
            </w:r>
          </w:p>
        </w:tc>
        <w:tc>
          <w:tcPr>
            <w:tcW w:w="1827" w:type="dxa"/>
            <w:shd w:val="clear" w:color="auto" w:fill="DEEAF6" w:themeFill="accent1" w:themeFillTint="33"/>
          </w:tcPr>
          <w:p w14:paraId="48526D89" w14:textId="5445A2B1" w:rsidR="00BE2FE6" w:rsidRPr="006F44AD" w:rsidRDefault="00BE2FE6" w:rsidP="00097418">
            <w:pPr>
              <w:rPr>
                <w:b/>
                <w:lang w:val="en-GB"/>
              </w:rPr>
            </w:pPr>
            <w:r w:rsidRPr="006F44AD">
              <w:rPr>
                <w:b/>
                <w:lang w:val="en-GB"/>
              </w:rPr>
              <w:t>Lead Officer</w:t>
            </w:r>
          </w:p>
        </w:tc>
        <w:tc>
          <w:tcPr>
            <w:tcW w:w="1843" w:type="dxa"/>
            <w:shd w:val="clear" w:color="auto" w:fill="DEEAF6" w:themeFill="accent1" w:themeFillTint="33"/>
          </w:tcPr>
          <w:p w14:paraId="1D410374" w14:textId="0E7F41F0" w:rsidR="00BE2FE6" w:rsidRPr="006F44AD" w:rsidRDefault="00BE2FE6" w:rsidP="00097418">
            <w:pPr>
              <w:rPr>
                <w:b/>
                <w:lang w:val="en-GB"/>
              </w:rPr>
            </w:pPr>
            <w:r w:rsidRPr="006F44AD">
              <w:rPr>
                <w:b/>
                <w:lang w:val="en-GB"/>
              </w:rPr>
              <w:t>Deadline</w:t>
            </w:r>
          </w:p>
        </w:tc>
      </w:tr>
      <w:tr w:rsidR="00835B9A" w14:paraId="7BB95E62" w14:textId="77777777" w:rsidTr="00167645">
        <w:tc>
          <w:tcPr>
            <w:tcW w:w="7388" w:type="dxa"/>
          </w:tcPr>
          <w:p w14:paraId="21B74C75" w14:textId="155A04B3" w:rsidR="00835B9A" w:rsidRDefault="00835B9A" w:rsidP="00835B9A">
            <w:pPr>
              <w:rPr>
                <w:lang w:val="en-GB"/>
              </w:rPr>
            </w:pPr>
            <w:r>
              <w:rPr>
                <w:lang w:val="en-GB"/>
              </w:rPr>
              <w:t>Following approval of the renewal, check that all required exemptions are in place.</w:t>
            </w:r>
          </w:p>
        </w:tc>
        <w:tc>
          <w:tcPr>
            <w:tcW w:w="1827" w:type="dxa"/>
          </w:tcPr>
          <w:p w14:paraId="0FFCF894" w14:textId="3972F389" w:rsidR="00835B9A" w:rsidRDefault="00835B9A" w:rsidP="00835B9A">
            <w:pPr>
              <w:rPr>
                <w:lang w:val="en-GB"/>
              </w:rPr>
            </w:pPr>
            <w:r>
              <w:rPr>
                <w:lang w:val="en-GB"/>
              </w:rPr>
              <w:t>Senior Solicitor</w:t>
            </w:r>
          </w:p>
        </w:tc>
        <w:tc>
          <w:tcPr>
            <w:tcW w:w="1843" w:type="dxa"/>
          </w:tcPr>
          <w:p w14:paraId="76D8F198" w14:textId="415BD532" w:rsidR="00835B9A" w:rsidRDefault="00835B9A" w:rsidP="00835B9A">
            <w:pPr>
              <w:rPr>
                <w:lang w:val="en-GB"/>
              </w:rPr>
            </w:pPr>
            <w:r>
              <w:rPr>
                <w:lang w:val="en-GB"/>
              </w:rPr>
              <w:t>October 2023</w:t>
            </w:r>
          </w:p>
        </w:tc>
      </w:tr>
      <w:tr w:rsidR="00835B9A" w14:paraId="2DBAFF7C" w14:textId="77777777" w:rsidTr="00167645">
        <w:tc>
          <w:tcPr>
            <w:tcW w:w="7388" w:type="dxa"/>
          </w:tcPr>
          <w:p w14:paraId="6FC37FBF" w14:textId="344C4C22" w:rsidR="00835B9A" w:rsidRDefault="00835B9A" w:rsidP="00835B9A">
            <w:pPr>
              <w:rPr>
                <w:lang w:val="en-GB"/>
              </w:rPr>
            </w:pPr>
            <w:r>
              <w:rPr>
                <w:lang w:val="en-GB"/>
              </w:rPr>
              <w:t>Undertake publicity and ensure signage in place to make residents fully aware of the measures.</w:t>
            </w:r>
          </w:p>
        </w:tc>
        <w:tc>
          <w:tcPr>
            <w:tcW w:w="1827" w:type="dxa"/>
          </w:tcPr>
          <w:p w14:paraId="3A08B2B4" w14:textId="6E11807A" w:rsidR="00835B9A" w:rsidRDefault="00835B9A" w:rsidP="00835B9A">
            <w:pPr>
              <w:rPr>
                <w:lang w:val="en-GB"/>
              </w:rPr>
            </w:pPr>
            <w:r>
              <w:rPr>
                <w:lang w:val="en-GB"/>
              </w:rPr>
              <w:t>Parks Service Manager</w:t>
            </w:r>
          </w:p>
        </w:tc>
        <w:tc>
          <w:tcPr>
            <w:tcW w:w="1843" w:type="dxa"/>
          </w:tcPr>
          <w:p w14:paraId="7ABC8804" w14:textId="69E616C9" w:rsidR="00835B9A" w:rsidRDefault="00835B9A" w:rsidP="00835B9A">
            <w:pPr>
              <w:rPr>
                <w:lang w:val="en-GB"/>
              </w:rPr>
            </w:pPr>
            <w:r>
              <w:rPr>
                <w:lang w:val="en-GB"/>
              </w:rPr>
              <w:t>October 2023</w:t>
            </w:r>
          </w:p>
        </w:tc>
      </w:tr>
      <w:tr w:rsidR="00835B9A" w14:paraId="7305BEA0" w14:textId="77777777" w:rsidTr="00167645">
        <w:tc>
          <w:tcPr>
            <w:tcW w:w="7388" w:type="dxa"/>
          </w:tcPr>
          <w:p w14:paraId="008ED070" w14:textId="3E6F0785" w:rsidR="00835B9A" w:rsidRDefault="00835B9A" w:rsidP="00835B9A">
            <w:pPr>
              <w:rPr>
                <w:lang w:val="en-GB"/>
              </w:rPr>
            </w:pPr>
            <w:r>
              <w:rPr>
                <w:lang w:val="en-GB"/>
              </w:rPr>
              <w:t>Consider how equalities monitoring of people spoken to related to PSPOs can be undertaken to identify if in practice a particular equality community is being disproportionately affected.</w:t>
            </w:r>
          </w:p>
        </w:tc>
        <w:tc>
          <w:tcPr>
            <w:tcW w:w="1827" w:type="dxa"/>
          </w:tcPr>
          <w:p w14:paraId="01DF09EB" w14:textId="44805BD9" w:rsidR="00835B9A" w:rsidRDefault="00835B9A" w:rsidP="00835B9A">
            <w:pPr>
              <w:rPr>
                <w:lang w:val="en-GB"/>
              </w:rPr>
            </w:pPr>
            <w:r>
              <w:rPr>
                <w:lang w:val="en-GB"/>
              </w:rPr>
              <w:t>Parks Service Manager</w:t>
            </w:r>
          </w:p>
        </w:tc>
        <w:tc>
          <w:tcPr>
            <w:tcW w:w="1843" w:type="dxa"/>
          </w:tcPr>
          <w:p w14:paraId="648C3CCF" w14:textId="6BB08592" w:rsidR="00835B9A" w:rsidRDefault="00E05E36" w:rsidP="00835B9A">
            <w:pPr>
              <w:rPr>
                <w:lang w:val="en-GB"/>
              </w:rPr>
            </w:pPr>
            <w:r>
              <w:rPr>
                <w:lang w:val="en-GB"/>
              </w:rPr>
              <w:t>Ongoing</w:t>
            </w:r>
          </w:p>
        </w:tc>
      </w:tr>
      <w:tr w:rsidR="00835B9A" w14:paraId="13E8FCAC" w14:textId="77777777" w:rsidTr="00167645">
        <w:tc>
          <w:tcPr>
            <w:tcW w:w="7388" w:type="dxa"/>
          </w:tcPr>
          <w:p w14:paraId="00C0A230" w14:textId="6C320270" w:rsidR="00835B9A" w:rsidRDefault="00835B9A" w:rsidP="00835B9A">
            <w:pPr>
              <w:rPr>
                <w:lang w:val="en-GB"/>
              </w:rPr>
            </w:pPr>
            <w:r>
              <w:rPr>
                <w:lang w:val="en-GB"/>
              </w:rPr>
              <w:t>Continue to require a</w:t>
            </w:r>
            <w:r w:rsidRPr="00F72525">
              <w:rPr>
                <w:lang w:val="en-GB"/>
              </w:rPr>
              <w:t>ll authorised officers to undergo equalities training.</w:t>
            </w:r>
          </w:p>
        </w:tc>
        <w:tc>
          <w:tcPr>
            <w:tcW w:w="1827" w:type="dxa"/>
          </w:tcPr>
          <w:p w14:paraId="791AB911" w14:textId="5594661E" w:rsidR="00835B9A" w:rsidRDefault="00835B9A" w:rsidP="00835B9A">
            <w:pPr>
              <w:rPr>
                <w:lang w:val="en-GB"/>
              </w:rPr>
            </w:pPr>
            <w:r>
              <w:rPr>
                <w:lang w:val="en-GB"/>
              </w:rPr>
              <w:t>Parks Service Manager</w:t>
            </w:r>
          </w:p>
        </w:tc>
        <w:tc>
          <w:tcPr>
            <w:tcW w:w="1843" w:type="dxa"/>
          </w:tcPr>
          <w:p w14:paraId="113AB2C5" w14:textId="391E683D" w:rsidR="00835B9A" w:rsidRDefault="00835B9A" w:rsidP="00835B9A">
            <w:pPr>
              <w:rPr>
                <w:lang w:val="en-GB"/>
              </w:rPr>
            </w:pPr>
            <w:r>
              <w:rPr>
                <w:lang w:val="en-GB"/>
              </w:rPr>
              <w:t>Ongoing</w:t>
            </w:r>
          </w:p>
        </w:tc>
      </w:tr>
      <w:tr w:rsidR="00835B9A" w14:paraId="5A25BA22" w14:textId="77777777" w:rsidTr="00167645">
        <w:tc>
          <w:tcPr>
            <w:tcW w:w="7388" w:type="dxa"/>
          </w:tcPr>
          <w:p w14:paraId="702D0D60" w14:textId="74628756" w:rsidR="00835B9A" w:rsidRDefault="00835B9A" w:rsidP="00835B9A">
            <w:pPr>
              <w:rPr>
                <w:lang w:val="en-GB"/>
              </w:rPr>
            </w:pPr>
            <w:r>
              <w:rPr>
                <w:lang w:val="en-GB"/>
              </w:rPr>
              <w:t>Discuss enforcement approach, tolerance levels and use of discretion with authorised officers and police.</w:t>
            </w:r>
          </w:p>
        </w:tc>
        <w:tc>
          <w:tcPr>
            <w:tcW w:w="1827" w:type="dxa"/>
          </w:tcPr>
          <w:p w14:paraId="0B67182F" w14:textId="02EED80C" w:rsidR="00835B9A" w:rsidRDefault="00835B9A" w:rsidP="00835B9A">
            <w:pPr>
              <w:rPr>
                <w:lang w:val="en-GB"/>
              </w:rPr>
            </w:pPr>
            <w:r>
              <w:rPr>
                <w:lang w:val="en-GB"/>
              </w:rPr>
              <w:t>Parks Service Manager</w:t>
            </w:r>
          </w:p>
        </w:tc>
        <w:tc>
          <w:tcPr>
            <w:tcW w:w="1843" w:type="dxa"/>
          </w:tcPr>
          <w:p w14:paraId="0D1783BE" w14:textId="1FE2E3C2" w:rsidR="00835B9A" w:rsidRDefault="00835B9A" w:rsidP="00835B9A">
            <w:pPr>
              <w:rPr>
                <w:lang w:val="en-GB"/>
              </w:rPr>
            </w:pPr>
            <w:r>
              <w:rPr>
                <w:lang w:val="en-GB"/>
              </w:rPr>
              <w:t>Ongoing</w:t>
            </w:r>
          </w:p>
        </w:tc>
      </w:tr>
    </w:tbl>
    <w:p w14:paraId="7F2CAA7B" w14:textId="77777777" w:rsidR="006F44AD" w:rsidRDefault="006F44AD" w:rsidP="006F44AD">
      <w:pPr>
        <w:pStyle w:val="ListParagraph"/>
        <w:rPr>
          <w:b/>
          <w:lang w:val="en-GB"/>
        </w:rPr>
      </w:pPr>
    </w:p>
    <w:p w14:paraId="086132F7" w14:textId="286054BC" w:rsidR="00BE2FE6" w:rsidRDefault="00BD5B9E" w:rsidP="004E0F4F">
      <w:pPr>
        <w:pStyle w:val="ListParagraph"/>
        <w:numPr>
          <w:ilvl w:val="0"/>
          <w:numId w:val="7"/>
        </w:numPr>
        <w:ind w:left="0" w:hanging="284"/>
        <w:rPr>
          <w:b/>
          <w:lang w:val="en-GB"/>
        </w:rPr>
      </w:pPr>
      <w:r>
        <w:rPr>
          <w:b/>
          <w:lang w:val="en-GB"/>
        </w:rPr>
        <w:t xml:space="preserve">Further </w:t>
      </w:r>
      <w:r w:rsidR="00BE2FE6" w:rsidRPr="00BE2FE6">
        <w:rPr>
          <w:b/>
          <w:lang w:val="en-GB"/>
        </w:rPr>
        <w:t>Consultation</w:t>
      </w:r>
      <w:r w:rsidR="006F44AD">
        <w:rPr>
          <w:b/>
          <w:lang w:val="en-GB"/>
        </w:rPr>
        <w:t xml:space="preserve"> (optional section</w:t>
      </w:r>
      <w:r w:rsidR="005D10F0">
        <w:rPr>
          <w:b/>
          <w:lang w:val="en-GB"/>
        </w:rPr>
        <w:t xml:space="preserve"> </w:t>
      </w:r>
      <w:r w:rsidR="006F44AD">
        <w:rPr>
          <w:b/>
          <w:lang w:val="en-GB"/>
        </w:rPr>
        <w:t xml:space="preserve">– </w:t>
      </w:r>
      <w:r w:rsidR="00B206E6">
        <w:rPr>
          <w:b/>
          <w:lang w:val="en-GB"/>
        </w:rPr>
        <w:t xml:space="preserve">complete </w:t>
      </w:r>
      <w:r w:rsidR="006F44AD">
        <w:rPr>
          <w:b/>
          <w:lang w:val="en-GB"/>
        </w:rPr>
        <w:t>as appropriate)</w:t>
      </w:r>
    </w:p>
    <w:p w14:paraId="5E5C6391" w14:textId="77777777" w:rsidR="00B206E6" w:rsidRDefault="00B206E6" w:rsidP="00BE2FE6">
      <w:pPr>
        <w:rPr>
          <w:lang w:val="en-GB"/>
        </w:rPr>
      </w:pPr>
      <w:bookmarkStart w:id="1" w:name="_Hlk95730871"/>
    </w:p>
    <w:bookmarkEnd w:id="1"/>
    <w:p w14:paraId="7D96BEF5" w14:textId="77777777" w:rsidR="006F44AD" w:rsidRDefault="006F44AD" w:rsidP="00BE2FE6">
      <w:pPr>
        <w:rPr>
          <w:lang w:val="en-GB"/>
        </w:rPr>
      </w:pPr>
    </w:p>
    <w:tbl>
      <w:tblPr>
        <w:tblStyle w:val="TableGrid"/>
        <w:tblW w:w="11058" w:type="dxa"/>
        <w:tblInd w:w="-998" w:type="dxa"/>
        <w:tblLook w:val="04A0" w:firstRow="1" w:lastRow="0" w:firstColumn="1" w:lastColumn="0" w:noHBand="0" w:noVBand="1"/>
      </w:tblPr>
      <w:tblGrid>
        <w:gridCol w:w="8506"/>
        <w:gridCol w:w="2552"/>
      </w:tblGrid>
      <w:tr w:rsidR="003C0A84" w14:paraId="198F5FC2" w14:textId="309C34B5" w:rsidTr="004F0F6B">
        <w:trPr>
          <w:trHeight w:val="588"/>
        </w:trPr>
        <w:tc>
          <w:tcPr>
            <w:tcW w:w="8506" w:type="dxa"/>
            <w:shd w:val="clear" w:color="auto" w:fill="DEEAF6" w:themeFill="accent1" w:themeFillTint="33"/>
          </w:tcPr>
          <w:p w14:paraId="756E0A55" w14:textId="1A413AE0" w:rsidR="003C0A84" w:rsidRPr="00DD17C6" w:rsidRDefault="003C0A84" w:rsidP="00DD17C6">
            <w:pPr>
              <w:rPr>
                <w:b/>
                <w:bCs/>
                <w:lang w:val="en-GB"/>
              </w:rPr>
            </w:pPr>
            <w:r>
              <w:rPr>
                <w:b/>
                <w:bCs/>
                <w:lang w:val="en-GB"/>
              </w:rPr>
              <w:t>C</w:t>
            </w:r>
            <w:r w:rsidRPr="00DD17C6">
              <w:rPr>
                <w:b/>
                <w:bCs/>
                <w:lang w:val="en-GB"/>
              </w:rPr>
              <w:t>onsult</w:t>
            </w:r>
            <w:r>
              <w:rPr>
                <w:b/>
                <w:bCs/>
                <w:lang w:val="en-GB"/>
              </w:rPr>
              <w:t xml:space="preserve">ation planned </w:t>
            </w:r>
          </w:p>
        </w:tc>
        <w:tc>
          <w:tcPr>
            <w:tcW w:w="2552" w:type="dxa"/>
            <w:shd w:val="clear" w:color="auto" w:fill="DEEAF6" w:themeFill="accent1" w:themeFillTint="33"/>
          </w:tcPr>
          <w:p w14:paraId="44ED4940" w14:textId="26D35F9F" w:rsidR="003C0A84" w:rsidRPr="00DD17C6" w:rsidRDefault="003C0A84" w:rsidP="00BE2FE6">
            <w:pPr>
              <w:rPr>
                <w:b/>
                <w:bCs/>
                <w:lang w:val="en-GB"/>
              </w:rPr>
            </w:pPr>
            <w:r w:rsidRPr="00DD17C6">
              <w:rPr>
                <w:b/>
                <w:bCs/>
                <w:lang w:val="en-GB"/>
              </w:rPr>
              <w:t xml:space="preserve">Date of consultation </w:t>
            </w:r>
          </w:p>
        </w:tc>
      </w:tr>
      <w:tr w:rsidR="003C0A84" w14:paraId="077866CE" w14:textId="77777777" w:rsidTr="00167645">
        <w:tc>
          <w:tcPr>
            <w:tcW w:w="8506" w:type="dxa"/>
          </w:tcPr>
          <w:p w14:paraId="487C60C1" w14:textId="566D3937" w:rsidR="006E2DF1" w:rsidRPr="006E2DF1" w:rsidRDefault="00D72742" w:rsidP="006E2DF1">
            <w:pPr>
              <w:rPr>
                <w:lang w:val="en-GB"/>
              </w:rPr>
            </w:pPr>
            <w:r>
              <w:rPr>
                <w:lang w:val="en-GB"/>
              </w:rPr>
              <w:t xml:space="preserve">A public consultation is planned for the renewal </w:t>
            </w:r>
            <w:r w:rsidR="00A14365">
              <w:rPr>
                <w:lang w:val="en-GB"/>
              </w:rPr>
              <w:t xml:space="preserve">which will take place for 4 weeks. There are no proposed changes to the </w:t>
            </w:r>
            <w:r w:rsidR="00A35AE5">
              <w:rPr>
                <w:lang w:val="en-GB"/>
              </w:rPr>
              <w:t xml:space="preserve">PSPO’s in relation to antisocial behaviour. </w:t>
            </w:r>
            <w:r w:rsidR="00355D4F">
              <w:rPr>
                <w:lang w:val="en-GB"/>
              </w:rPr>
              <w:t>It is an</w:t>
            </w:r>
            <w:r w:rsidR="006E2DF1">
              <w:rPr>
                <w:lang w:val="en-GB"/>
              </w:rPr>
              <w:t xml:space="preserve"> o</w:t>
            </w:r>
            <w:r w:rsidR="006E2DF1" w:rsidRPr="006E2DF1">
              <w:rPr>
                <w:lang w:val="en-GB"/>
              </w:rPr>
              <w:t>nline survey asking for views on each measure, if any restricted behaviour had been experienced and an opinion on whether the PSPO had addressed the issue since 20</w:t>
            </w:r>
            <w:r w:rsidR="00E05E36">
              <w:rPr>
                <w:lang w:val="en-GB"/>
              </w:rPr>
              <w:t>20</w:t>
            </w:r>
            <w:r w:rsidR="006E2DF1" w:rsidRPr="006E2DF1">
              <w:rPr>
                <w:lang w:val="en-GB"/>
              </w:rPr>
              <w:t xml:space="preserve">. A number of background questions were also asked, including asking respondents about any potential impacts on groups with protected characteristics. </w:t>
            </w:r>
          </w:p>
          <w:p w14:paraId="00068212" w14:textId="66989803" w:rsidR="003C0A84" w:rsidRDefault="003C0A84" w:rsidP="00BE2FE6">
            <w:pPr>
              <w:rPr>
                <w:lang w:val="en-GB"/>
              </w:rPr>
            </w:pPr>
          </w:p>
        </w:tc>
        <w:tc>
          <w:tcPr>
            <w:tcW w:w="2552" w:type="dxa"/>
          </w:tcPr>
          <w:p w14:paraId="7D1171CA" w14:textId="34CEDF38" w:rsidR="003C0A84" w:rsidRDefault="00355D4F" w:rsidP="00BE2FE6">
            <w:pPr>
              <w:rPr>
                <w:lang w:val="en-GB"/>
              </w:rPr>
            </w:pPr>
            <w:r>
              <w:rPr>
                <w:lang w:val="en-GB"/>
              </w:rPr>
              <w:t>TBC</w:t>
            </w:r>
          </w:p>
        </w:tc>
      </w:tr>
    </w:tbl>
    <w:p w14:paraId="06F7B486" w14:textId="77777777" w:rsidR="006F44AD" w:rsidRPr="00BE2FE6" w:rsidRDefault="006F44AD" w:rsidP="00BE2FE6">
      <w:pPr>
        <w:rPr>
          <w:lang w:val="en-GB"/>
        </w:rPr>
      </w:pPr>
    </w:p>
    <w:p w14:paraId="13ECDEBD" w14:textId="77777777" w:rsidR="00BE2FE6" w:rsidRPr="00BE2FE6" w:rsidRDefault="00BE2FE6" w:rsidP="00097418">
      <w:pPr>
        <w:rPr>
          <w:lang w:val="en-GB"/>
        </w:rPr>
      </w:pPr>
    </w:p>
    <w:sectPr w:rsidR="00BE2FE6" w:rsidRPr="00BE2FE6" w:rsidSect="00E06E57">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7A84" w14:textId="77777777" w:rsidR="0050198A" w:rsidRDefault="0050198A" w:rsidP="00507425">
      <w:r>
        <w:separator/>
      </w:r>
    </w:p>
  </w:endnote>
  <w:endnote w:type="continuationSeparator" w:id="0">
    <w:p w14:paraId="0A0F0A1D" w14:textId="77777777" w:rsidR="0050198A" w:rsidRDefault="0050198A" w:rsidP="0050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10021"/>
      <w:docPartObj>
        <w:docPartGallery w:val="Page Numbers (Bottom of Page)"/>
        <w:docPartUnique/>
      </w:docPartObj>
    </w:sdtPr>
    <w:sdtEndPr>
      <w:rPr>
        <w:noProof/>
      </w:rPr>
    </w:sdtEndPr>
    <w:sdtContent>
      <w:p w14:paraId="6D3092F9" w14:textId="74EA08CD" w:rsidR="002C09F5" w:rsidRDefault="002C0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2CDD3C" w14:textId="77777777" w:rsidR="007758EF" w:rsidRDefault="00775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EA8C" w14:textId="77777777" w:rsidR="0050198A" w:rsidRDefault="0050198A" w:rsidP="00507425">
      <w:r>
        <w:separator/>
      </w:r>
    </w:p>
  </w:footnote>
  <w:footnote w:type="continuationSeparator" w:id="0">
    <w:p w14:paraId="4411BDDC" w14:textId="77777777" w:rsidR="0050198A" w:rsidRDefault="0050198A" w:rsidP="0050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2988" w14:textId="0B84DD0C" w:rsidR="00507425" w:rsidRDefault="00507425">
    <w:pPr>
      <w:pStyle w:val="Header"/>
    </w:pPr>
    <w:r>
      <w:rPr>
        <w:noProof/>
      </w:rPr>
      <mc:AlternateContent>
        <mc:Choice Requires="wps">
          <w:drawing>
            <wp:anchor distT="0" distB="0" distL="114300" distR="114300" simplePos="0" relativeHeight="251659264" behindDoc="0" locked="0" layoutInCell="0" allowOverlap="1" wp14:anchorId="0320D175" wp14:editId="5F6FA38D">
              <wp:simplePos x="0" y="0"/>
              <wp:positionH relativeFrom="page">
                <wp:posOffset>0</wp:posOffset>
              </wp:positionH>
              <wp:positionV relativeFrom="page">
                <wp:posOffset>190500</wp:posOffset>
              </wp:positionV>
              <wp:extent cx="7556500" cy="266700"/>
              <wp:effectExtent l="0" t="0" r="0" b="0"/>
              <wp:wrapNone/>
              <wp:docPr id="1" name="MSIPCMe48d4b7cbed13f50ce7cd93b"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99723" w14:textId="1FF277EA" w:rsidR="00507425" w:rsidRPr="00507425" w:rsidRDefault="00507425" w:rsidP="00507425">
                          <w:pPr>
                            <w:rPr>
                              <w:rFonts w:ascii="Calibri" w:hAnsi="Calibri" w:cs="Calibri"/>
                              <w:color w:val="000000"/>
                              <w:sz w:val="20"/>
                            </w:rPr>
                          </w:pPr>
                          <w:r w:rsidRPr="0050742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320D175" id="_x0000_t202" coordsize="21600,21600" o:spt="202" path="m,l,21600r21600,l21600,xe">
              <v:stroke joinstyle="miter"/>
              <v:path gradientshapeok="t" o:connecttype="rect"/>
            </v:shapetype>
            <v:shape id="MSIPCMe48d4b7cbed13f50ce7cd93b" o:spid="_x0000_s1026" type="#_x0000_t202" alt="{&quot;HashCode&quot;:1987674191,&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" o:allowincell="f" filled="f" stroked="f" strokeweight=".5pt">
              <v:textbox inset="20pt,0,,0">
                <w:txbxContent>
                  <w:p w14:paraId="72599723" w14:textId="1FF277EA" w:rsidR="00507425" w:rsidRPr="00507425" w:rsidRDefault="00507425" w:rsidP="00507425">
                    <w:pPr>
                      <w:rPr>
                        <w:rFonts w:ascii="Calibri" w:hAnsi="Calibri" w:cs="Calibri"/>
                        <w:color w:val="000000"/>
                        <w:sz w:val="20"/>
                      </w:rPr>
                    </w:pPr>
                    <w:r w:rsidRPr="00507425">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C84"/>
    <w:multiLevelType w:val="hybridMultilevel"/>
    <w:tmpl w:val="65FE51B6"/>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28B0336"/>
    <w:multiLevelType w:val="hybridMultilevel"/>
    <w:tmpl w:val="C34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D69E1"/>
    <w:multiLevelType w:val="hybridMultilevel"/>
    <w:tmpl w:val="6144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6979"/>
    <w:multiLevelType w:val="hybridMultilevel"/>
    <w:tmpl w:val="0AE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63745"/>
    <w:multiLevelType w:val="hybridMultilevel"/>
    <w:tmpl w:val="FEA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92FA0"/>
    <w:multiLevelType w:val="hybridMultilevel"/>
    <w:tmpl w:val="97D0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E538D"/>
    <w:multiLevelType w:val="hybridMultilevel"/>
    <w:tmpl w:val="8208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65801"/>
    <w:multiLevelType w:val="hybridMultilevel"/>
    <w:tmpl w:val="B9EAE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B60EB7"/>
    <w:multiLevelType w:val="hybridMultilevel"/>
    <w:tmpl w:val="484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47F31"/>
    <w:multiLevelType w:val="hybridMultilevel"/>
    <w:tmpl w:val="A87C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95BE3"/>
    <w:multiLevelType w:val="hybridMultilevel"/>
    <w:tmpl w:val="F2F89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3909024">
    <w:abstractNumId w:val="6"/>
  </w:num>
  <w:num w:numId="2" w16cid:durableId="1386948873">
    <w:abstractNumId w:val="4"/>
  </w:num>
  <w:num w:numId="3" w16cid:durableId="97608398">
    <w:abstractNumId w:val="12"/>
  </w:num>
  <w:num w:numId="4" w16cid:durableId="421924582">
    <w:abstractNumId w:val="2"/>
  </w:num>
  <w:num w:numId="5" w16cid:durableId="938410533">
    <w:abstractNumId w:val="0"/>
  </w:num>
  <w:num w:numId="6" w16cid:durableId="1210918599">
    <w:abstractNumId w:val="5"/>
  </w:num>
  <w:num w:numId="7" w16cid:durableId="793253186">
    <w:abstractNumId w:val="7"/>
  </w:num>
  <w:num w:numId="8" w16cid:durableId="932084404">
    <w:abstractNumId w:val="8"/>
  </w:num>
  <w:num w:numId="9" w16cid:durableId="219248542">
    <w:abstractNumId w:val="3"/>
  </w:num>
  <w:num w:numId="10" w16cid:durableId="2145659758">
    <w:abstractNumId w:val="9"/>
  </w:num>
  <w:num w:numId="11" w16cid:durableId="1977879781">
    <w:abstractNumId w:val="1"/>
  </w:num>
  <w:num w:numId="12" w16cid:durableId="1105803995">
    <w:abstractNumId w:val="10"/>
  </w:num>
  <w:num w:numId="13" w16cid:durableId="19454598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74"/>
    <w:rsid w:val="00003F16"/>
    <w:rsid w:val="0000795C"/>
    <w:rsid w:val="0001428E"/>
    <w:rsid w:val="0004255C"/>
    <w:rsid w:val="00042A0C"/>
    <w:rsid w:val="000547D8"/>
    <w:rsid w:val="00061501"/>
    <w:rsid w:val="00066A68"/>
    <w:rsid w:val="00067D5B"/>
    <w:rsid w:val="000754F8"/>
    <w:rsid w:val="00094984"/>
    <w:rsid w:val="000963FB"/>
    <w:rsid w:val="00097418"/>
    <w:rsid w:val="000B3359"/>
    <w:rsid w:val="000C3E2B"/>
    <w:rsid w:val="001008FE"/>
    <w:rsid w:val="001100E6"/>
    <w:rsid w:val="00137BED"/>
    <w:rsid w:val="00143F59"/>
    <w:rsid w:val="00147F6B"/>
    <w:rsid w:val="001545EE"/>
    <w:rsid w:val="00164997"/>
    <w:rsid w:val="00167645"/>
    <w:rsid w:val="00175AD4"/>
    <w:rsid w:val="001844B3"/>
    <w:rsid w:val="00185333"/>
    <w:rsid w:val="0019145B"/>
    <w:rsid w:val="00193A49"/>
    <w:rsid w:val="00196B6B"/>
    <w:rsid w:val="001A0D4F"/>
    <w:rsid w:val="001A3998"/>
    <w:rsid w:val="001A66DA"/>
    <w:rsid w:val="001B0ACD"/>
    <w:rsid w:val="001C190B"/>
    <w:rsid w:val="001C29D8"/>
    <w:rsid w:val="001C7D51"/>
    <w:rsid w:val="001D756E"/>
    <w:rsid w:val="001E73EE"/>
    <w:rsid w:val="00202C26"/>
    <w:rsid w:val="0020306A"/>
    <w:rsid w:val="0022308D"/>
    <w:rsid w:val="002273CD"/>
    <w:rsid w:val="0023032D"/>
    <w:rsid w:val="002330D5"/>
    <w:rsid w:val="002367C7"/>
    <w:rsid w:val="00251C66"/>
    <w:rsid w:val="00276976"/>
    <w:rsid w:val="00281A70"/>
    <w:rsid w:val="002B763C"/>
    <w:rsid w:val="002C09F5"/>
    <w:rsid w:val="002C1B5A"/>
    <w:rsid w:val="002D4D2E"/>
    <w:rsid w:val="002E620E"/>
    <w:rsid w:val="002E621E"/>
    <w:rsid w:val="002F0B3F"/>
    <w:rsid w:val="002F48AC"/>
    <w:rsid w:val="002F4F67"/>
    <w:rsid w:val="002F6138"/>
    <w:rsid w:val="00303856"/>
    <w:rsid w:val="00304344"/>
    <w:rsid w:val="00310D57"/>
    <w:rsid w:val="00311C05"/>
    <w:rsid w:val="003133FC"/>
    <w:rsid w:val="00317FB7"/>
    <w:rsid w:val="00324E73"/>
    <w:rsid w:val="00326FD8"/>
    <w:rsid w:val="00335B9D"/>
    <w:rsid w:val="00344526"/>
    <w:rsid w:val="00354E7B"/>
    <w:rsid w:val="00355D4F"/>
    <w:rsid w:val="00360FC0"/>
    <w:rsid w:val="00363F9B"/>
    <w:rsid w:val="00376FE7"/>
    <w:rsid w:val="0038086B"/>
    <w:rsid w:val="00383ABA"/>
    <w:rsid w:val="00395567"/>
    <w:rsid w:val="003B2DBA"/>
    <w:rsid w:val="003C0A84"/>
    <w:rsid w:val="003D12DD"/>
    <w:rsid w:val="003D27D1"/>
    <w:rsid w:val="003E380B"/>
    <w:rsid w:val="003F4905"/>
    <w:rsid w:val="003F56CC"/>
    <w:rsid w:val="004009B1"/>
    <w:rsid w:val="0040495E"/>
    <w:rsid w:val="0042152D"/>
    <w:rsid w:val="00424391"/>
    <w:rsid w:val="00451488"/>
    <w:rsid w:val="0046151E"/>
    <w:rsid w:val="00472D5D"/>
    <w:rsid w:val="00473E1E"/>
    <w:rsid w:val="00485BAC"/>
    <w:rsid w:val="00495728"/>
    <w:rsid w:val="004B5127"/>
    <w:rsid w:val="004C03AD"/>
    <w:rsid w:val="004E0F4F"/>
    <w:rsid w:val="004E180C"/>
    <w:rsid w:val="004E27B7"/>
    <w:rsid w:val="004F0CF4"/>
    <w:rsid w:val="004F0F6B"/>
    <w:rsid w:val="004F5491"/>
    <w:rsid w:val="0050198A"/>
    <w:rsid w:val="00507425"/>
    <w:rsid w:val="00513572"/>
    <w:rsid w:val="005532E5"/>
    <w:rsid w:val="00571F41"/>
    <w:rsid w:val="0057221B"/>
    <w:rsid w:val="005771DE"/>
    <w:rsid w:val="00592739"/>
    <w:rsid w:val="005979C7"/>
    <w:rsid w:val="005A0326"/>
    <w:rsid w:val="005B20B5"/>
    <w:rsid w:val="005D0452"/>
    <w:rsid w:val="005D10F0"/>
    <w:rsid w:val="005D656D"/>
    <w:rsid w:val="005E28D4"/>
    <w:rsid w:val="00601770"/>
    <w:rsid w:val="006108C1"/>
    <w:rsid w:val="00614C61"/>
    <w:rsid w:val="00622402"/>
    <w:rsid w:val="0064681B"/>
    <w:rsid w:val="00650184"/>
    <w:rsid w:val="00662F8C"/>
    <w:rsid w:val="00665433"/>
    <w:rsid w:val="006852F1"/>
    <w:rsid w:val="006923B3"/>
    <w:rsid w:val="006A0A2B"/>
    <w:rsid w:val="006A4F6B"/>
    <w:rsid w:val="006C3E74"/>
    <w:rsid w:val="006C58D9"/>
    <w:rsid w:val="006D7AB7"/>
    <w:rsid w:val="006E2DF1"/>
    <w:rsid w:val="006E3A79"/>
    <w:rsid w:val="006F222E"/>
    <w:rsid w:val="006F44AD"/>
    <w:rsid w:val="00700976"/>
    <w:rsid w:val="0070152F"/>
    <w:rsid w:val="007117E4"/>
    <w:rsid w:val="00713957"/>
    <w:rsid w:val="00726F6A"/>
    <w:rsid w:val="00727551"/>
    <w:rsid w:val="00732E7A"/>
    <w:rsid w:val="00732EFF"/>
    <w:rsid w:val="00737D6B"/>
    <w:rsid w:val="007553D9"/>
    <w:rsid w:val="00757D7A"/>
    <w:rsid w:val="00761752"/>
    <w:rsid w:val="00771F1D"/>
    <w:rsid w:val="007729F9"/>
    <w:rsid w:val="007758EF"/>
    <w:rsid w:val="00795F13"/>
    <w:rsid w:val="007A0904"/>
    <w:rsid w:val="007A7A2B"/>
    <w:rsid w:val="007B4944"/>
    <w:rsid w:val="007D7E87"/>
    <w:rsid w:val="007E01D9"/>
    <w:rsid w:val="007E7B59"/>
    <w:rsid w:val="007F7765"/>
    <w:rsid w:val="00825398"/>
    <w:rsid w:val="00827E2F"/>
    <w:rsid w:val="008305C0"/>
    <w:rsid w:val="00833878"/>
    <w:rsid w:val="00835B9A"/>
    <w:rsid w:val="00843AFE"/>
    <w:rsid w:val="00844240"/>
    <w:rsid w:val="00863B0A"/>
    <w:rsid w:val="0087040A"/>
    <w:rsid w:val="00896E3C"/>
    <w:rsid w:val="008A05ED"/>
    <w:rsid w:val="008A2131"/>
    <w:rsid w:val="008B05C7"/>
    <w:rsid w:val="008B0E0D"/>
    <w:rsid w:val="008D6989"/>
    <w:rsid w:val="008D7659"/>
    <w:rsid w:val="008E0610"/>
    <w:rsid w:val="008E43F2"/>
    <w:rsid w:val="008E5EE2"/>
    <w:rsid w:val="009026FB"/>
    <w:rsid w:val="00905A6A"/>
    <w:rsid w:val="00912E19"/>
    <w:rsid w:val="00917089"/>
    <w:rsid w:val="009176B6"/>
    <w:rsid w:val="009239CF"/>
    <w:rsid w:val="00941689"/>
    <w:rsid w:val="0094577E"/>
    <w:rsid w:val="009464D6"/>
    <w:rsid w:val="009500AF"/>
    <w:rsid w:val="0095512A"/>
    <w:rsid w:val="00962000"/>
    <w:rsid w:val="00976D46"/>
    <w:rsid w:val="00985DC0"/>
    <w:rsid w:val="00986917"/>
    <w:rsid w:val="00986E86"/>
    <w:rsid w:val="009B45AF"/>
    <w:rsid w:val="009B5D8B"/>
    <w:rsid w:val="009C304A"/>
    <w:rsid w:val="009D1C5C"/>
    <w:rsid w:val="009D7CD6"/>
    <w:rsid w:val="009F4A1C"/>
    <w:rsid w:val="009F647E"/>
    <w:rsid w:val="00A14365"/>
    <w:rsid w:val="00A3407B"/>
    <w:rsid w:val="00A35AE5"/>
    <w:rsid w:val="00A56880"/>
    <w:rsid w:val="00A71728"/>
    <w:rsid w:val="00A723EB"/>
    <w:rsid w:val="00A957FD"/>
    <w:rsid w:val="00AA0E55"/>
    <w:rsid w:val="00AA6E76"/>
    <w:rsid w:val="00AB607E"/>
    <w:rsid w:val="00AB75C3"/>
    <w:rsid w:val="00AC14C2"/>
    <w:rsid w:val="00AC4D76"/>
    <w:rsid w:val="00AF22CD"/>
    <w:rsid w:val="00B15077"/>
    <w:rsid w:val="00B2013A"/>
    <w:rsid w:val="00B206E6"/>
    <w:rsid w:val="00B24E09"/>
    <w:rsid w:val="00B32A74"/>
    <w:rsid w:val="00B35131"/>
    <w:rsid w:val="00B367B4"/>
    <w:rsid w:val="00B50409"/>
    <w:rsid w:val="00B63FE0"/>
    <w:rsid w:val="00B73381"/>
    <w:rsid w:val="00B81795"/>
    <w:rsid w:val="00BA42D6"/>
    <w:rsid w:val="00BB0B12"/>
    <w:rsid w:val="00BB258D"/>
    <w:rsid w:val="00BC0E10"/>
    <w:rsid w:val="00BC42E5"/>
    <w:rsid w:val="00BC5B6E"/>
    <w:rsid w:val="00BD2E94"/>
    <w:rsid w:val="00BD5B9E"/>
    <w:rsid w:val="00BD71D0"/>
    <w:rsid w:val="00BD767E"/>
    <w:rsid w:val="00BE2FE6"/>
    <w:rsid w:val="00BE714B"/>
    <w:rsid w:val="00BF09FB"/>
    <w:rsid w:val="00BF4E3D"/>
    <w:rsid w:val="00BF4EA8"/>
    <w:rsid w:val="00BF6A6C"/>
    <w:rsid w:val="00C027EB"/>
    <w:rsid w:val="00C361E2"/>
    <w:rsid w:val="00C40B96"/>
    <w:rsid w:val="00C422B7"/>
    <w:rsid w:val="00C43D5D"/>
    <w:rsid w:val="00C46AA2"/>
    <w:rsid w:val="00C47B40"/>
    <w:rsid w:val="00C60D81"/>
    <w:rsid w:val="00CA0DC4"/>
    <w:rsid w:val="00CB5A74"/>
    <w:rsid w:val="00CC5972"/>
    <w:rsid w:val="00CD23A7"/>
    <w:rsid w:val="00CE1C4F"/>
    <w:rsid w:val="00CE7BDA"/>
    <w:rsid w:val="00D00CD6"/>
    <w:rsid w:val="00D050D6"/>
    <w:rsid w:val="00D115CA"/>
    <w:rsid w:val="00D2330E"/>
    <w:rsid w:val="00D242B9"/>
    <w:rsid w:val="00D24B49"/>
    <w:rsid w:val="00D50E0D"/>
    <w:rsid w:val="00D6110A"/>
    <w:rsid w:val="00D62558"/>
    <w:rsid w:val="00D72742"/>
    <w:rsid w:val="00D77FF0"/>
    <w:rsid w:val="00DD17C6"/>
    <w:rsid w:val="00DF74D8"/>
    <w:rsid w:val="00E04E29"/>
    <w:rsid w:val="00E05E36"/>
    <w:rsid w:val="00E06E57"/>
    <w:rsid w:val="00E1042F"/>
    <w:rsid w:val="00E107A5"/>
    <w:rsid w:val="00E117F6"/>
    <w:rsid w:val="00E24FD4"/>
    <w:rsid w:val="00E365FF"/>
    <w:rsid w:val="00E36893"/>
    <w:rsid w:val="00E4060A"/>
    <w:rsid w:val="00E42E53"/>
    <w:rsid w:val="00E457EB"/>
    <w:rsid w:val="00E62C89"/>
    <w:rsid w:val="00E63572"/>
    <w:rsid w:val="00E7312C"/>
    <w:rsid w:val="00E7497E"/>
    <w:rsid w:val="00E753AB"/>
    <w:rsid w:val="00E76672"/>
    <w:rsid w:val="00E82939"/>
    <w:rsid w:val="00E83A58"/>
    <w:rsid w:val="00E8760F"/>
    <w:rsid w:val="00E924B8"/>
    <w:rsid w:val="00E93CFF"/>
    <w:rsid w:val="00E97132"/>
    <w:rsid w:val="00E976C3"/>
    <w:rsid w:val="00EC1397"/>
    <w:rsid w:val="00ED3B25"/>
    <w:rsid w:val="00ED4D08"/>
    <w:rsid w:val="00EE2DCB"/>
    <w:rsid w:val="00EE3C6E"/>
    <w:rsid w:val="00EE4E8A"/>
    <w:rsid w:val="00EE7BEC"/>
    <w:rsid w:val="00F0156D"/>
    <w:rsid w:val="00F023C2"/>
    <w:rsid w:val="00F04C04"/>
    <w:rsid w:val="00F069E7"/>
    <w:rsid w:val="00F13BC3"/>
    <w:rsid w:val="00F15F95"/>
    <w:rsid w:val="00F27C86"/>
    <w:rsid w:val="00F54F67"/>
    <w:rsid w:val="00F5656E"/>
    <w:rsid w:val="00F6083A"/>
    <w:rsid w:val="00F638D8"/>
    <w:rsid w:val="00F63A62"/>
    <w:rsid w:val="00F922C7"/>
    <w:rsid w:val="00F950D8"/>
    <w:rsid w:val="00F95F19"/>
    <w:rsid w:val="00FA7834"/>
    <w:rsid w:val="00FC38AE"/>
    <w:rsid w:val="00FD6AFE"/>
    <w:rsid w:val="00FE3733"/>
    <w:rsid w:val="00FE750C"/>
    <w:rsid w:val="00FE78DE"/>
    <w:rsid w:val="720F8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B65B"/>
  <w15:docId w15:val="{4FA57B73-23D0-4C63-B227-C8FFE74C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398"/>
    <w:pPr>
      <w:ind w:left="720"/>
      <w:contextualSpacing/>
    </w:pPr>
  </w:style>
  <w:style w:type="paragraph" w:styleId="Header">
    <w:name w:val="header"/>
    <w:basedOn w:val="Normal"/>
    <w:link w:val="HeaderChar"/>
    <w:uiPriority w:val="99"/>
    <w:unhideWhenUsed/>
    <w:rsid w:val="00507425"/>
    <w:pPr>
      <w:tabs>
        <w:tab w:val="center" w:pos="4513"/>
        <w:tab w:val="right" w:pos="9026"/>
      </w:tabs>
    </w:pPr>
  </w:style>
  <w:style w:type="character" w:customStyle="1" w:styleId="HeaderChar">
    <w:name w:val="Header Char"/>
    <w:basedOn w:val="DefaultParagraphFont"/>
    <w:link w:val="Header"/>
    <w:uiPriority w:val="99"/>
    <w:rsid w:val="00507425"/>
  </w:style>
  <w:style w:type="paragraph" w:styleId="Footer">
    <w:name w:val="footer"/>
    <w:basedOn w:val="Normal"/>
    <w:link w:val="FooterChar"/>
    <w:uiPriority w:val="99"/>
    <w:unhideWhenUsed/>
    <w:rsid w:val="00507425"/>
    <w:pPr>
      <w:tabs>
        <w:tab w:val="center" w:pos="4513"/>
        <w:tab w:val="right" w:pos="9026"/>
      </w:tabs>
    </w:pPr>
  </w:style>
  <w:style w:type="character" w:customStyle="1" w:styleId="FooterChar">
    <w:name w:val="Footer Char"/>
    <w:basedOn w:val="DefaultParagraphFont"/>
    <w:link w:val="Footer"/>
    <w:uiPriority w:val="99"/>
    <w:rsid w:val="00507425"/>
  </w:style>
  <w:style w:type="character" w:styleId="Hyperlink">
    <w:name w:val="Hyperlink"/>
    <w:basedOn w:val="DefaultParagraphFont"/>
    <w:uiPriority w:val="99"/>
    <w:unhideWhenUsed/>
    <w:rsid w:val="004F5491"/>
    <w:rPr>
      <w:color w:val="0563C1" w:themeColor="hyperlink"/>
      <w:u w:val="single"/>
    </w:rPr>
  </w:style>
  <w:style w:type="character" w:styleId="UnresolvedMention">
    <w:name w:val="Unresolved Mention"/>
    <w:basedOn w:val="DefaultParagraphFont"/>
    <w:uiPriority w:val="99"/>
    <w:semiHidden/>
    <w:unhideWhenUsed/>
    <w:rsid w:val="004F5491"/>
    <w:rPr>
      <w:color w:val="605E5C"/>
      <w:shd w:val="clear" w:color="auto" w:fill="E1DFDD"/>
    </w:rPr>
  </w:style>
  <w:style w:type="character" w:styleId="CommentReference">
    <w:name w:val="annotation reference"/>
    <w:basedOn w:val="DefaultParagraphFont"/>
    <w:uiPriority w:val="99"/>
    <w:semiHidden/>
    <w:unhideWhenUsed/>
    <w:rsid w:val="00BF4E3D"/>
    <w:rPr>
      <w:sz w:val="18"/>
      <w:szCs w:val="18"/>
    </w:rPr>
  </w:style>
  <w:style w:type="paragraph" w:styleId="CommentText">
    <w:name w:val="annotation text"/>
    <w:basedOn w:val="Normal"/>
    <w:link w:val="CommentTextChar"/>
    <w:uiPriority w:val="99"/>
    <w:unhideWhenUsed/>
    <w:rsid w:val="00BF4E3D"/>
  </w:style>
  <w:style w:type="character" w:customStyle="1" w:styleId="CommentTextChar">
    <w:name w:val="Comment Text Char"/>
    <w:basedOn w:val="DefaultParagraphFont"/>
    <w:link w:val="CommentText"/>
    <w:uiPriority w:val="99"/>
    <w:rsid w:val="00BF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0314">
      <w:bodyDiv w:val="1"/>
      <w:marLeft w:val="0"/>
      <w:marRight w:val="0"/>
      <w:marTop w:val="0"/>
      <w:marBottom w:val="0"/>
      <w:divBdr>
        <w:top w:val="none" w:sz="0" w:space="0" w:color="auto"/>
        <w:left w:val="none" w:sz="0" w:space="0" w:color="auto"/>
        <w:bottom w:val="none" w:sz="0" w:space="0" w:color="auto"/>
        <w:right w:val="none" w:sz="0" w:space="0" w:color="auto"/>
      </w:divBdr>
    </w:div>
    <w:div w:id="749693946">
      <w:bodyDiv w:val="1"/>
      <w:marLeft w:val="0"/>
      <w:marRight w:val="0"/>
      <w:marTop w:val="0"/>
      <w:marBottom w:val="0"/>
      <w:divBdr>
        <w:top w:val="none" w:sz="0" w:space="0" w:color="auto"/>
        <w:left w:val="none" w:sz="0" w:space="0" w:color="auto"/>
        <w:bottom w:val="none" w:sz="0" w:space="0" w:color="auto"/>
        <w:right w:val="none" w:sz="0" w:space="0" w:color="auto"/>
      </w:divBdr>
    </w:div>
    <w:div w:id="1286884725">
      <w:bodyDiv w:val="1"/>
      <w:marLeft w:val="0"/>
      <w:marRight w:val="0"/>
      <w:marTop w:val="0"/>
      <w:marBottom w:val="0"/>
      <w:divBdr>
        <w:top w:val="none" w:sz="0" w:space="0" w:color="auto"/>
        <w:left w:val="none" w:sz="0" w:space="0" w:color="auto"/>
        <w:bottom w:val="none" w:sz="0" w:space="0" w:color="auto"/>
        <w:right w:val="none" w:sz="0" w:space="0" w:color="auto"/>
      </w:divBdr>
    </w:div>
    <w:div w:id="1424496658">
      <w:bodyDiv w:val="1"/>
      <w:marLeft w:val="0"/>
      <w:marRight w:val="0"/>
      <w:marTop w:val="0"/>
      <w:marBottom w:val="0"/>
      <w:divBdr>
        <w:top w:val="none" w:sz="0" w:space="0" w:color="auto"/>
        <w:left w:val="none" w:sz="0" w:space="0" w:color="auto"/>
        <w:bottom w:val="none" w:sz="0" w:space="0" w:color="auto"/>
        <w:right w:val="none" w:sz="0" w:space="0" w:color="auto"/>
      </w:divBdr>
    </w:div>
    <w:div w:id="1811751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20" ma:contentTypeDescription="Create a new document." ma:contentTypeScope="" ma:versionID="35d5b7142bf8a49c63183cf8a9c81602">
  <xsd:schema xmlns:xsd="http://www.w3.org/2001/XMLSchema" xmlns:xs="http://www.w3.org/2001/XMLSchema" xmlns:p="http://schemas.microsoft.com/office/2006/metadata/properties" xmlns:ns1="http://schemas.microsoft.com/sharepoint/v3" xmlns:ns2="f4fb4d64-3729-4c0b-9f92-aa7f5e41bdd4" xmlns:ns3="c4448fa8-d593-4a0e-9be9-7f379de4cfe5" targetNamespace="http://schemas.microsoft.com/office/2006/metadata/properties" ma:root="true" ma:fieldsID="a1925af3082deccd92a76dd9aeb630cc" ns1:_="" ns2:_="" ns3:_="">
    <xsd:import namespace="http://schemas.microsoft.com/sharepoint/v3"/>
    <xsd:import namespace="f4fb4d64-3729-4c0b-9f92-aa7f5e41bdd4"/>
    <xsd:import namespace="c4448fa8-d593-4a0e-9be9-7f379de4cf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Redacted"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Redacted" ma:index="22" nillable="true" ma:displayName="Redacted" ma:default="1" ma:format="Dropdown" ma:internalName="Redacted">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6fe3229-45bc-4292-a2ab-46f9c9348768}" ma:internalName="TaxCatchAll" ma:showField="CatchAllData" ma:web="c4448fa8-d593-4a0e-9be9-7f379de4c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4448fa8-d593-4a0e-9be9-7f379de4cfe5">
      <UserInfo>
        <DisplayName>Hagger, Andrew</DisplayName>
        <AccountId>6</AccountId>
        <AccountType/>
      </UserInfo>
      <UserInfo>
        <DisplayName>O'Connor, Clare</DisplayName>
        <AccountId>17</AccountId>
        <AccountType/>
      </UserInfo>
      <UserInfo>
        <DisplayName>Ioannou, Eleni</DisplayName>
        <AccountId>15</AccountId>
        <AccountType/>
      </UserInfo>
    </SharedWithUsers>
    <lcf76f155ced4ddcb4097134ff3c332f xmlns="f4fb4d64-3729-4c0b-9f92-aa7f5e41bdd4">
      <Terms xmlns="http://schemas.microsoft.com/office/infopath/2007/PartnerControls"/>
    </lcf76f155ced4ddcb4097134ff3c332f>
    <TaxCatchAll xmlns="c4448fa8-d593-4a0e-9be9-7f379de4cfe5" xsi:nil="true"/>
    <Redacted xmlns="f4fb4d64-3729-4c0b-9f92-aa7f5e41bdd4">true</Redacted>
  </documentManagement>
</p:properties>
</file>

<file path=customXml/itemProps1.xml><?xml version="1.0" encoding="utf-8"?>
<ds:datastoreItem xmlns:ds="http://schemas.openxmlformats.org/officeDocument/2006/customXml" ds:itemID="{A3281226-9A1E-4B96-9F97-4A3F2F2DC52D}">
  <ds:schemaRefs>
    <ds:schemaRef ds:uri="http://schemas.microsoft.com/sharepoint/v3/contenttype/forms"/>
  </ds:schemaRefs>
</ds:datastoreItem>
</file>

<file path=customXml/itemProps2.xml><?xml version="1.0" encoding="utf-8"?>
<ds:datastoreItem xmlns:ds="http://schemas.openxmlformats.org/officeDocument/2006/customXml" ds:itemID="{59BE5BE4-2973-4171-97FA-17EDEC5A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3225A-B4E9-4EA0-85F9-D96DF9BF67C1}">
  <ds:schemaRefs>
    <ds:schemaRef ds:uri="http://schemas.microsoft.com/office/2006/metadata/properties"/>
    <ds:schemaRef ds:uri="http://schemas.microsoft.com/office/infopath/2007/PartnerControls"/>
    <ds:schemaRef ds:uri="http://schemas.microsoft.com/sharepoint/v3"/>
    <ds:schemaRef ds:uri="c4448fa8-d593-4a0e-9be9-7f379de4cfe5"/>
    <ds:schemaRef ds:uri="f4fb4d64-3729-4c0b-9f92-aa7f5e41bdd4"/>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16599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SSA EINA</vt:lpstr>
    </vt:vector>
  </TitlesOfParts>
  <Company>Wandsworth Borough Council</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EINA</dc:title>
  <dc:creator>O'CONNOR, Steve</dc:creator>
  <cp:keywords>Equality-Impact-Needs-Assessments</cp:keywords>
  <cp:lastModifiedBy>Catherine Pierce</cp:lastModifiedBy>
  <cp:revision>2</cp:revision>
  <dcterms:created xsi:type="dcterms:W3CDTF">2023-06-01T17:41:00Z</dcterms:created>
  <dcterms:modified xsi:type="dcterms:W3CDTF">2023-06-01T17:41:00Z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0x0101008942FE59704AA443B942C6EADE9725C4</vt:lpwstr>
  </property>
  <property fmtid="{D5CDD505-2E9C-101B-9397-08002B2CF9AE}" pid="3" name="TaxKeyword">
    <vt:lpwstr>50;#Equality-Impact-Needs-Assessments|8603c9dd-4d13-4c81-a558-96b9f8244cc2</vt:lpwstr>
  </property>
  <property fmtid="{D5CDD505-2E9C-101B-9397-08002B2CF9AE}" pid="4" name="Order">
    <vt:r8>3400</vt:r8>
  </property>
  <property fmtid="{D5CDD505-2E9C-101B-9397-08002B2CF9AE}" pid="5" name="URL">
    <vt:lpwstr/>
  </property>
  <property fmtid="{D5CDD505-2E9C-101B-9397-08002B2CF9AE}" pid="6" name="MSIP_Label_763da656-5c75-4f6d-9461-4a3ce9a537cc_Enabled">
    <vt:lpwstr>True</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Owner">
    <vt:lpwstr>Eleni.Ioannou@richmondandwandsworth.gov.uk</vt:lpwstr>
  </property>
  <property fmtid="{D5CDD505-2E9C-101B-9397-08002B2CF9AE}" pid="9" name="MSIP_Label_763da656-5c75-4f6d-9461-4a3ce9a537cc_SetDate">
    <vt:lpwstr>2021-11-02T16:28:40.8541685Z</vt:lpwstr>
  </property>
  <property fmtid="{D5CDD505-2E9C-101B-9397-08002B2CF9AE}" pid="10" name="MSIP_Label_763da656-5c75-4f6d-9461-4a3ce9a537cc_Name">
    <vt:lpwstr>Official</vt:lpwstr>
  </property>
  <property fmtid="{D5CDD505-2E9C-101B-9397-08002B2CF9AE}" pid="11" name="MSIP_Label_763da656-5c75-4f6d-9461-4a3ce9a537cc_Application">
    <vt:lpwstr>Microsoft Azure Information Protection</vt:lpwstr>
  </property>
  <property fmtid="{D5CDD505-2E9C-101B-9397-08002B2CF9AE}" pid="12" name="MSIP_Label_763da656-5c75-4f6d-9461-4a3ce9a537cc_ActionId">
    <vt:lpwstr>c2040d61-f009-4dc5-aca1-4f2e11d17fcf</vt:lpwstr>
  </property>
  <property fmtid="{D5CDD505-2E9C-101B-9397-08002B2CF9AE}" pid="13" name="MSIP_Label_763da656-5c75-4f6d-9461-4a3ce9a537cc_Extended_MSFT_Method">
    <vt:lpwstr>Automatic</vt:lpwstr>
  </property>
  <property fmtid="{D5CDD505-2E9C-101B-9397-08002B2CF9AE}" pid="14" name="Sensitivity">
    <vt:lpwstr>Official</vt:lpwstr>
  </property>
  <property fmtid="{D5CDD505-2E9C-101B-9397-08002B2CF9AE}" pid="15" name="MediaServiceImageTags">
    <vt:lpwstr/>
  </property>
</Properties>
</file>