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20" w:rsidRPr="00CF7B20" w:rsidRDefault="00CF7B20" w:rsidP="00CF7B20">
      <w:pPr>
        <w:rPr>
          <w:rFonts w:ascii="Calibri" w:hAnsi="Calibri" w:cs="Arial"/>
          <w:b/>
          <w:sz w:val="40"/>
          <w:szCs w:val="40"/>
        </w:rPr>
      </w:pPr>
      <w:bookmarkStart w:id="0" w:name="_GoBack"/>
      <w:bookmarkEnd w:id="0"/>
      <w:r w:rsidRPr="00CF7B20">
        <w:rPr>
          <w:rFonts w:ascii="Calibri" w:hAnsi="Calibri" w:cs="Arial"/>
          <w:b/>
          <w:sz w:val="40"/>
          <w:szCs w:val="40"/>
        </w:rPr>
        <w:t xml:space="preserve">Commissioning Infrastructure and Capacity-Building services for the Voluntary and Community Sector 2016 - 2018 </w:t>
      </w:r>
    </w:p>
    <w:p w:rsidR="00CB6157" w:rsidRDefault="00AF6C12"/>
    <w:p w:rsidR="00CF7B20" w:rsidRDefault="00CF7B20"/>
    <w:p w:rsidR="00CF7B20" w:rsidRDefault="00CF7B20"/>
    <w:p w:rsidR="00CF7B20" w:rsidRPr="00CF7B20" w:rsidRDefault="00CF7B20" w:rsidP="00CF7B20">
      <w:pPr>
        <w:pStyle w:val="Heading2"/>
        <w:spacing w:before="0" w:beforeAutospacing="0" w:after="0" w:afterAutospacing="0"/>
        <w:rPr>
          <w:rFonts w:ascii="Calibri" w:hAnsi="Calibri" w:cs="Arial"/>
          <w:sz w:val="32"/>
          <w:szCs w:val="32"/>
          <w:lang w:val="en-GB"/>
        </w:rPr>
      </w:pPr>
      <w:r w:rsidRPr="00CF7B20">
        <w:rPr>
          <w:rFonts w:ascii="Calibri" w:hAnsi="Calibri" w:cs="Arial"/>
          <w:sz w:val="32"/>
          <w:szCs w:val="32"/>
          <w:lang w:val="en-GB"/>
        </w:rPr>
        <w:t>How we commission services</w:t>
      </w:r>
    </w:p>
    <w:p w:rsidR="00CF7B20" w:rsidRDefault="00CF7B20" w:rsidP="00CF7B20">
      <w:pPr>
        <w:pStyle w:val="NoSpacing"/>
        <w:rPr>
          <w:rFonts w:ascii="Calibri" w:hAnsi="Calibri" w:cs="Arial"/>
        </w:rPr>
      </w:pPr>
    </w:p>
    <w:p w:rsidR="00CF7B20" w:rsidRDefault="00CF7B20" w:rsidP="00CF7B20">
      <w:pPr>
        <w:pStyle w:val="NoSpacing"/>
        <w:rPr>
          <w:rFonts w:ascii="Calibri" w:hAnsi="Calibri" w:cs="Arial"/>
        </w:rPr>
      </w:pPr>
      <w:r>
        <w:rPr>
          <w:rFonts w:ascii="Calibri" w:hAnsi="Calibri" w:cs="Arial"/>
        </w:rPr>
        <w:t xml:space="preserve">This consultation is seeking the views of the voluntary sector and other stakeholders on the following areas:  </w:t>
      </w:r>
    </w:p>
    <w:p w:rsidR="00CF7B20" w:rsidRDefault="00CF7B20" w:rsidP="00CF7B20">
      <w:pPr>
        <w:pStyle w:val="NoSpacing"/>
        <w:rPr>
          <w:rFonts w:ascii="Calibri" w:hAnsi="Calibri" w:cs="Arial"/>
        </w:rPr>
      </w:pPr>
    </w:p>
    <w:p w:rsidR="00CF7B20" w:rsidRDefault="00CF7B20" w:rsidP="00CF7B20">
      <w:pPr>
        <w:pStyle w:val="NoSpacing"/>
        <w:numPr>
          <w:ilvl w:val="0"/>
          <w:numId w:val="1"/>
        </w:numPr>
        <w:rPr>
          <w:rFonts w:ascii="Calibri" w:hAnsi="Calibri" w:cs="Arial"/>
        </w:rPr>
      </w:pPr>
      <w:r>
        <w:rPr>
          <w:rFonts w:ascii="Calibri" w:hAnsi="Calibri" w:cs="Arial"/>
        </w:rPr>
        <w:t xml:space="preserve">Definition of the future requirements for </w:t>
      </w:r>
      <w:r w:rsidRPr="009D6F5D">
        <w:rPr>
          <w:rFonts w:ascii="Calibri" w:hAnsi="Calibri" w:cs="Arial"/>
        </w:rPr>
        <w:t xml:space="preserve">strategic leadership and representation, capacity building, and volunteering services.  </w:t>
      </w:r>
    </w:p>
    <w:p w:rsidR="00CF7B20" w:rsidRDefault="00CF7B20" w:rsidP="00CF7B20">
      <w:pPr>
        <w:pStyle w:val="NoSpacing"/>
        <w:numPr>
          <w:ilvl w:val="0"/>
          <w:numId w:val="1"/>
        </w:numPr>
        <w:rPr>
          <w:rFonts w:ascii="Calibri" w:hAnsi="Calibri" w:cs="Arial"/>
        </w:rPr>
      </w:pPr>
      <w:r>
        <w:rPr>
          <w:rFonts w:ascii="Calibri" w:hAnsi="Calibri" w:cs="Arial"/>
        </w:rPr>
        <w:t>I</w:t>
      </w:r>
      <w:r w:rsidRPr="009D6F5D">
        <w:rPr>
          <w:rFonts w:ascii="Calibri" w:hAnsi="Calibri" w:cs="Arial"/>
        </w:rPr>
        <w:t>dentif</w:t>
      </w:r>
      <w:r>
        <w:rPr>
          <w:rFonts w:ascii="Calibri" w:hAnsi="Calibri" w:cs="Arial"/>
        </w:rPr>
        <w:t>ication of</w:t>
      </w:r>
      <w:r w:rsidRPr="009D6F5D">
        <w:rPr>
          <w:rFonts w:ascii="Calibri" w:hAnsi="Calibri" w:cs="Arial"/>
        </w:rPr>
        <w:t xml:space="preserve"> shared outcomes </w:t>
      </w:r>
    </w:p>
    <w:p w:rsidR="00CF7B20" w:rsidRDefault="00CF7B20" w:rsidP="00CF7B20">
      <w:pPr>
        <w:pStyle w:val="NoSpacing"/>
        <w:numPr>
          <w:ilvl w:val="0"/>
          <w:numId w:val="1"/>
        </w:numPr>
        <w:rPr>
          <w:rFonts w:ascii="Calibri" w:hAnsi="Calibri" w:cs="Arial"/>
        </w:rPr>
      </w:pPr>
      <w:r>
        <w:rPr>
          <w:rFonts w:ascii="Calibri" w:hAnsi="Calibri" w:cs="Arial"/>
        </w:rPr>
        <w:t>Ex</w:t>
      </w:r>
      <w:r w:rsidRPr="009D6F5D">
        <w:rPr>
          <w:rFonts w:ascii="Calibri" w:hAnsi="Calibri" w:cs="Arial"/>
        </w:rPr>
        <w:t>plor</w:t>
      </w:r>
      <w:r>
        <w:rPr>
          <w:rFonts w:ascii="Calibri" w:hAnsi="Calibri" w:cs="Arial"/>
        </w:rPr>
        <w:t>ation of the different ways that these outcomes could be delivered and the types of services needed.</w:t>
      </w:r>
    </w:p>
    <w:p w:rsidR="00CF7B20" w:rsidRDefault="00CF7B20" w:rsidP="00CF7B20">
      <w:pPr>
        <w:pStyle w:val="NoSpacing"/>
        <w:rPr>
          <w:rFonts w:ascii="Calibri" w:hAnsi="Calibri" w:cs="Arial"/>
        </w:rPr>
      </w:pPr>
    </w:p>
    <w:p w:rsidR="00CF7B20" w:rsidRPr="009D6F5D" w:rsidRDefault="00CF7B20" w:rsidP="00CF7B20">
      <w:pPr>
        <w:pStyle w:val="NoSpacing"/>
        <w:rPr>
          <w:rFonts w:ascii="Calibri" w:hAnsi="Calibri" w:cs="Arial"/>
          <w:bCs/>
        </w:rPr>
      </w:pPr>
      <w:r w:rsidRPr="009D6F5D">
        <w:rPr>
          <w:rFonts w:ascii="Calibri" w:hAnsi="Calibri" w:cs="Arial"/>
          <w:bCs/>
        </w:rPr>
        <w:t>Once we have agreed the outcomes to be achieved and commissioners have agreed the model for meeting those outcomes, the Council will commence the procurement process which is expected to be an open tender.</w:t>
      </w:r>
    </w:p>
    <w:p w:rsidR="00CF7B20" w:rsidRPr="009D6F5D" w:rsidRDefault="00CF7B20" w:rsidP="00CF7B20">
      <w:pPr>
        <w:pStyle w:val="NoSpacing"/>
        <w:rPr>
          <w:rFonts w:ascii="Calibri" w:hAnsi="Calibri" w:cs="Arial"/>
          <w:bCs/>
        </w:rPr>
      </w:pPr>
    </w:p>
    <w:p w:rsidR="00CF7B20" w:rsidRPr="009D6F5D" w:rsidRDefault="00CF7B20" w:rsidP="00CF7B20">
      <w:pPr>
        <w:pStyle w:val="NoSpacing"/>
        <w:rPr>
          <w:rFonts w:ascii="Calibri" w:hAnsi="Calibri" w:cs="Arial"/>
          <w:bCs/>
        </w:rPr>
      </w:pPr>
      <w:r w:rsidRPr="009D6F5D">
        <w:rPr>
          <w:rFonts w:ascii="Calibri" w:hAnsi="Calibri" w:cs="Arial"/>
          <w:bCs/>
        </w:rPr>
        <w:t>It is intended that the contract period will be for three years commencing 4 January 2016.</w:t>
      </w:r>
    </w:p>
    <w:p w:rsidR="00CF7B20" w:rsidRPr="009D6F5D" w:rsidRDefault="00CF7B20" w:rsidP="00CF7B20">
      <w:pPr>
        <w:pStyle w:val="NoSpacing"/>
        <w:rPr>
          <w:rFonts w:ascii="Calibri" w:hAnsi="Calibri" w:cs="Arial"/>
          <w:bCs/>
        </w:rPr>
      </w:pPr>
    </w:p>
    <w:p w:rsidR="00CF7B20" w:rsidRPr="009D6F5D" w:rsidRDefault="00CF7B20" w:rsidP="00CF7B20">
      <w:pPr>
        <w:pStyle w:val="NoSpacing"/>
        <w:rPr>
          <w:rFonts w:ascii="Calibri" w:hAnsi="Calibri" w:cs="Arial"/>
          <w:bCs/>
        </w:rPr>
      </w:pPr>
      <w:r w:rsidRPr="009D6F5D">
        <w:rPr>
          <w:rFonts w:ascii="Calibri" w:hAnsi="Calibri" w:cs="Arial"/>
          <w:bCs/>
        </w:rPr>
        <w:t xml:space="preserve">In developing our commissioning intentions we will take account of other infrastructure and capacity building services </w:t>
      </w:r>
      <w:r>
        <w:rPr>
          <w:rFonts w:ascii="Calibri" w:hAnsi="Calibri" w:cs="Arial"/>
          <w:bCs/>
        </w:rPr>
        <w:t>that are</w:t>
      </w:r>
      <w:r w:rsidRPr="009D6F5D">
        <w:rPr>
          <w:rFonts w:ascii="Calibri" w:hAnsi="Calibri" w:cs="Arial"/>
          <w:bCs/>
        </w:rPr>
        <w:t xml:space="preserve"> available and </w:t>
      </w:r>
      <w:r>
        <w:rPr>
          <w:rFonts w:ascii="Calibri" w:hAnsi="Calibri" w:cs="Arial"/>
          <w:bCs/>
        </w:rPr>
        <w:t>minimise</w:t>
      </w:r>
      <w:r w:rsidRPr="009D6F5D">
        <w:rPr>
          <w:rFonts w:ascii="Calibri" w:hAnsi="Calibri" w:cs="Arial"/>
          <w:bCs/>
        </w:rPr>
        <w:t xml:space="preserve"> duplication of provision.  </w:t>
      </w:r>
    </w:p>
    <w:p w:rsidR="00CF7B20" w:rsidRDefault="00CF7B20" w:rsidP="00CF7B20">
      <w:pPr>
        <w:rPr>
          <w:rFonts w:ascii="Calibri" w:hAnsi="Calibri" w:cs="Arial"/>
        </w:rPr>
      </w:pPr>
    </w:p>
    <w:p w:rsidR="00CF7B20" w:rsidRDefault="00CF7B20" w:rsidP="00CF7B20">
      <w:pPr>
        <w:rPr>
          <w:rFonts w:ascii="Calibri" w:hAnsi="Calibri" w:cs="Arial"/>
        </w:rPr>
      </w:pPr>
      <w:r w:rsidRPr="004E77FF">
        <w:rPr>
          <w:rFonts w:ascii="Calibri" w:hAnsi="Calibri" w:cs="Arial"/>
        </w:rPr>
        <w:t>Our aim is to ensure that resources are used as effectively as possible across the Borough and will only look to commission services that uniquely meet local need, and which are not provided elsewhere.</w:t>
      </w:r>
    </w:p>
    <w:p w:rsidR="00CF7B20" w:rsidRPr="009D6F5D" w:rsidRDefault="00CF7B20" w:rsidP="00CF7B20">
      <w:pPr>
        <w:rPr>
          <w:rFonts w:ascii="Calibri" w:hAnsi="Calibri" w:cs="Arial"/>
        </w:rPr>
      </w:pPr>
    </w:p>
    <w:p w:rsidR="00CF7B20" w:rsidRDefault="00CF7B20" w:rsidP="00CF7B20">
      <w:pPr>
        <w:rPr>
          <w:rFonts w:ascii="Calibri" w:hAnsi="Calibri" w:cs="Arial"/>
        </w:rPr>
      </w:pPr>
      <w:r w:rsidRPr="009D6F5D">
        <w:rPr>
          <w:rFonts w:ascii="Calibri" w:hAnsi="Calibri" w:cs="Arial"/>
        </w:rPr>
        <w:t xml:space="preserve">The Council will adhere to the agreed commissioning principles of: transparency; fairness and stakeholder involvement in developing its commissioning intentions.  </w:t>
      </w:r>
      <w:r>
        <w:rPr>
          <w:rFonts w:ascii="Calibri" w:hAnsi="Calibri" w:cs="Arial"/>
        </w:rPr>
        <w:t xml:space="preserve"> We will also adhere to the </w:t>
      </w:r>
      <w:r w:rsidRPr="009D6F5D">
        <w:rPr>
          <w:rFonts w:ascii="Calibri" w:hAnsi="Calibri" w:cs="Arial"/>
        </w:rPr>
        <w:t xml:space="preserve">principles and commitments </w:t>
      </w:r>
      <w:r>
        <w:rPr>
          <w:rFonts w:ascii="Calibri" w:hAnsi="Calibri" w:cs="Arial"/>
        </w:rPr>
        <w:t xml:space="preserve">contained in the Richmond upon Thames Compact </w:t>
      </w:r>
      <w:r w:rsidRPr="009D6F5D">
        <w:rPr>
          <w:rFonts w:ascii="Calibri" w:hAnsi="Calibri" w:cs="Arial"/>
        </w:rPr>
        <w:t xml:space="preserve">which will be used to underpin the commissioning programme.  </w:t>
      </w:r>
    </w:p>
    <w:p w:rsidR="00CF7B20" w:rsidRDefault="00CF7B20" w:rsidP="00CF7B20">
      <w:pPr>
        <w:rPr>
          <w:rFonts w:ascii="Calibri" w:hAnsi="Calibri" w:cs="Arial"/>
        </w:rPr>
      </w:pPr>
    </w:p>
    <w:p w:rsidR="00CF7B20" w:rsidRDefault="00CF7B20" w:rsidP="00CF7B20">
      <w:pPr>
        <w:rPr>
          <w:rFonts w:ascii="Calibri" w:hAnsi="Calibri" w:cs="Arial"/>
        </w:rPr>
      </w:pPr>
    </w:p>
    <w:p w:rsidR="00CF7B20" w:rsidRPr="00CF7B20" w:rsidRDefault="00CF7B20" w:rsidP="00CF7B20">
      <w:pPr>
        <w:rPr>
          <w:rFonts w:ascii="Calibri" w:hAnsi="Calibri" w:cs="Arial"/>
          <w:b/>
          <w:sz w:val="32"/>
          <w:szCs w:val="32"/>
        </w:rPr>
      </w:pPr>
      <w:r w:rsidRPr="00CF7B20">
        <w:rPr>
          <w:rFonts w:ascii="Calibri" w:hAnsi="Calibri" w:cs="Arial"/>
          <w:b/>
          <w:sz w:val="32"/>
          <w:szCs w:val="32"/>
        </w:rPr>
        <w:t>Commissioning Timetable</w:t>
      </w:r>
    </w:p>
    <w:p w:rsidR="00CF7B20" w:rsidRPr="009D6F5D" w:rsidRDefault="00CF7B20" w:rsidP="00CF7B20">
      <w:pPr>
        <w:rPr>
          <w:rFonts w:ascii="Calibri" w:hAnsi="Calibri" w:cs="Arial"/>
          <w:b/>
        </w:rPr>
      </w:pPr>
    </w:p>
    <w:tbl>
      <w:tblPr>
        <w:tblW w:w="9418" w:type="dxa"/>
        <w:tblInd w:w="108" w:type="dxa"/>
        <w:tblCellMar>
          <w:left w:w="0" w:type="dxa"/>
          <w:right w:w="0" w:type="dxa"/>
        </w:tblCellMar>
        <w:tblLook w:val="04A0" w:firstRow="1" w:lastRow="0" w:firstColumn="1" w:lastColumn="0" w:noHBand="0" w:noVBand="1"/>
      </w:tblPr>
      <w:tblGrid>
        <w:gridCol w:w="4678"/>
        <w:gridCol w:w="4740"/>
      </w:tblGrid>
      <w:tr w:rsidR="00CF7B20" w:rsidRPr="00DC748B" w:rsidTr="00CD384C">
        <w:tc>
          <w:tcPr>
            <w:tcW w:w="4678"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b/>
                <w:bCs/>
              </w:rPr>
            </w:pPr>
            <w:r w:rsidRPr="00DC748B">
              <w:rPr>
                <w:rFonts w:ascii="Calibri" w:hAnsi="Calibri" w:cs="Arial"/>
                <w:b/>
                <w:bCs/>
              </w:rPr>
              <w:t>Action</w:t>
            </w:r>
          </w:p>
        </w:tc>
        <w:tc>
          <w:tcPr>
            <w:tcW w:w="4740" w:type="dxa"/>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b/>
                <w:bCs/>
              </w:rPr>
            </w:pPr>
            <w:r w:rsidRPr="00DC748B">
              <w:rPr>
                <w:rFonts w:ascii="Calibri" w:hAnsi="Calibri" w:cs="Arial"/>
                <w:b/>
                <w:bCs/>
              </w:rPr>
              <w:t>Date</w:t>
            </w:r>
          </w:p>
        </w:tc>
      </w:tr>
      <w:tr w:rsidR="00CF7B20" w:rsidRPr="00DC748B" w:rsidTr="00CD384C">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 xml:space="preserve">Cabinet Report </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March 2015</w:t>
            </w:r>
          </w:p>
        </w:tc>
      </w:tr>
      <w:tr w:rsidR="00CF7B20" w:rsidRPr="00DC748B" w:rsidTr="00CD384C">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 xml:space="preserve">Draft consultation paper </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March 2015</w:t>
            </w:r>
          </w:p>
        </w:tc>
      </w:tr>
      <w:tr w:rsidR="00CF7B20" w:rsidRPr="00DC748B" w:rsidTr="00CD384C">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Consult with voluntary sector and other stakeholders</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April – June 2015</w:t>
            </w:r>
          </w:p>
        </w:tc>
      </w:tr>
      <w:tr w:rsidR="00CF7B20" w:rsidRPr="00DC748B" w:rsidTr="00CD384C">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lastRenderedPageBreak/>
              <w:t>Market appraisal, research and engagement</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May – June 2015</w:t>
            </w:r>
          </w:p>
        </w:tc>
      </w:tr>
      <w:tr w:rsidR="00CF7B20" w:rsidRPr="00DC748B" w:rsidTr="00CD384C">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Supplier Engagement Day</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July 2015</w:t>
            </w:r>
          </w:p>
        </w:tc>
      </w:tr>
      <w:tr w:rsidR="00CF7B20" w:rsidRPr="00DC748B" w:rsidTr="00CD384C">
        <w:trPr>
          <w:trHeight w:val="21"/>
        </w:trPr>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Invite tenders (bidding period)</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July - September 2015</w:t>
            </w:r>
          </w:p>
        </w:tc>
      </w:tr>
      <w:tr w:rsidR="00CF7B20" w:rsidRPr="00DC748B" w:rsidTr="00CD384C">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Evaluation of Tenders and Award</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October 2015</w:t>
            </w:r>
          </w:p>
        </w:tc>
      </w:tr>
      <w:tr w:rsidR="00CF7B20" w:rsidRPr="00DC748B" w:rsidTr="00CD384C">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Mobilisation</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November - December</w:t>
            </w:r>
          </w:p>
        </w:tc>
      </w:tr>
      <w:tr w:rsidR="00CF7B20" w:rsidRPr="00DC748B" w:rsidTr="00CD384C">
        <w:tc>
          <w:tcPr>
            <w:tcW w:w="467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Contract start</w:t>
            </w:r>
          </w:p>
        </w:tc>
        <w:tc>
          <w:tcPr>
            <w:tcW w:w="4740" w:type="dxa"/>
            <w:tcBorders>
              <w:top w:val="nil"/>
              <w:left w:val="nil"/>
              <w:bottom w:val="single" w:sz="8" w:space="0" w:color="auto"/>
              <w:right w:val="single" w:sz="8" w:space="0" w:color="auto"/>
            </w:tcBorders>
            <w:tcMar>
              <w:top w:w="57" w:type="dxa"/>
              <w:left w:w="108" w:type="dxa"/>
              <w:bottom w:w="57" w:type="dxa"/>
              <w:right w:w="108" w:type="dxa"/>
            </w:tcMar>
            <w:hideMark/>
          </w:tcPr>
          <w:p w:rsidR="00CF7B20" w:rsidRPr="00DC748B" w:rsidRDefault="00CF7B20" w:rsidP="00CD384C">
            <w:pPr>
              <w:rPr>
                <w:rFonts w:ascii="Calibri" w:hAnsi="Calibri" w:cs="Arial"/>
              </w:rPr>
            </w:pPr>
            <w:r w:rsidRPr="00DC748B">
              <w:rPr>
                <w:rFonts w:ascii="Calibri" w:hAnsi="Calibri" w:cs="Arial"/>
              </w:rPr>
              <w:t>January 2016</w:t>
            </w:r>
          </w:p>
        </w:tc>
      </w:tr>
    </w:tbl>
    <w:p w:rsidR="00CF7B20" w:rsidRPr="009D6F5D" w:rsidRDefault="00CF7B20" w:rsidP="00CF7B20">
      <w:pPr>
        <w:rPr>
          <w:rFonts w:ascii="Calibri" w:hAnsi="Calibri" w:cs="Arial"/>
          <w:b/>
        </w:rPr>
      </w:pPr>
    </w:p>
    <w:p w:rsidR="00CF7B20" w:rsidRPr="00006BEC" w:rsidRDefault="00CF7B20" w:rsidP="00CF7B20">
      <w:pPr>
        <w:tabs>
          <w:tab w:val="left" w:pos="4080"/>
        </w:tabs>
        <w:rPr>
          <w:rFonts w:ascii="Calibri" w:hAnsi="Calibri" w:cs="Arial"/>
          <w:b/>
        </w:rPr>
      </w:pPr>
    </w:p>
    <w:p w:rsidR="00CF7B20" w:rsidRPr="00006BEC" w:rsidRDefault="00CF7B20" w:rsidP="00CF7B20">
      <w:pPr>
        <w:tabs>
          <w:tab w:val="left" w:pos="4080"/>
        </w:tabs>
        <w:rPr>
          <w:rFonts w:ascii="Calibri" w:hAnsi="Calibri" w:cs="Arial"/>
          <w:b/>
        </w:rPr>
      </w:pPr>
    </w:p>
    <w:p w:rsidR="00CF7B20" w:rsidRPr="00006BEC" w:rsidRDefault="00CF7B20" w:rsidP="00CF7B20">
      <w:pPr>
        <w:tabs>
          <w:tab w:val="left" w:pos="4080"/>
        </w:tabs>
        <w:rPr>
          <w:rFonts w:ascii="Calibri" w:hAnsi="Calibri" w:cs="Arial"/>
          <w:b/>
        </w:rPr>
      </w:pPr>
    </w:p>
    <w:p w:rsidR="00CF7B20" w:rsidRDefault="00CF7B20"/>
    <w:sectPr w:rsidR="00CF7B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20" w:rsidRDefault="00CF7B20" w:rsidP="00CF7B20">
      <w:r>
        <w:separator/>
      </w:r>
    </w:p>
  </w:endnote>
  <w:endnote w:type="continuationSeparator" w:id="0">
    <w:p w:rsidR="00CF7B20" w:rsidRDefault="00CF7B20" w:rsidP="00CF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51086"/>
      <w:docPartObj>
        <w:docPartGallery w:val="Page Numbers (Bottom of Page)"/>
        <w:docPartUnique/>
      </w:docPartObj>
    </w:sdtPr>
    <w:sdtEndPr>
      <w:rPr>
        <w:rFonts w:asciiTheme="minorHAnsi" w:hAnsiTheme="minorHAnsi"/>
        <w:noProof/>
        <w:color w:val="7F7F7F" w:themeColor="text1" w:themeTint="80"/>
      </w:rPr>
    </w:sdtEndPr>
    <w:sdtContent>
      <w:p w:rsidR="00CF7B20" w:rsidRPr="00CF7B20" w:rsidRDefault="00CF7B20">
        <w:pPr>
          <w:pStyle w:val="Footer"/>
          <w:rPr>
            <w:rFonts w:asciiTheme="minorHAnsi" w:hAnsiTheme="minorHAnsi"/>
            <w:color w:val="7F7F7F" w:themeColor="text1" w:themeTint="80"/>
          </w:rPr>
        </w:pPr>
        <w:r w:rsidRPr="00CF7B20">
          <w:rPr>
            <w:rFonts w:asciiTheme="minorHAnsi" w:hAnsiTheme="minorHAnsi"/>
            <w:color w:val="7F7F7F" w:themeColor="text1" w:themeTint="80"/>
          </w:rPr>
          <w:t xml:space="preserve">Page | </w:t>
        </w:r>
        <w:r w:rsidRPr="00CF7B20">
          <w:rPr>
            <w:rFonts w:asciiTheme="minorHAnsi" w:hAnsiTheme="minorHAnsi"/>
            <w:color w:val="7F7F7F" w:themeColor="text1" w:themeTint="80"/>
          </w:rPr>
          <w:fldChar w:fldCharType="begin"/>
        </w:r>
        <w:r w:rsidRPr="00CF7B20">
          <w:rPr>
            <w:rFonts w:asciiTheme="minorHAnsi" w:hAnsiTheme="minorHAnsi"/>
            <w:color w:val="7F7F7F" w:themeColor="text1" w:themeTint="80"/>
          </w:rPr>
          <w:instrText xml:space="preserve"> PAGE   \* MERGEFORMAT </w:instrText>
        </w:r>
        <w:r w:rsidRPr="00CF7B20">
          <w:rPr>
            <w:rFonts w:asciiTheme="minorHAnsi" w:hAnsiTheme="minorHAnsi"/>
            <w:color w:val="7F7F7F" w:themeColor="text1" w:themeTint="80"/>
          </w:rPr>
          <w:fldChar w:fldCharType="separate"/>
        </w:r>
        <w:r w:rsidR="00AF6C12">
          <w:rPr>
            <w:rFonts w:asciiTheme="minorHAnsi" w:hAnsiTheme="minorHAnsi"/>
            <w:noProof/>
            <w:color w:val="7F7F7F" w:themeColor="text1" w:themeTint="80"/>
          </w:rPr>
          <w:t>1</w:t>
        </w:r>
        <w:r w:rsidRPr="00CF7B20">
          <w:rPr>
            <w:rFonts w:asciiTheme="minorHAnsi" w:hAnsiTheme="minorHAnsi"/>
            <w:noProof/>
            <w:color w:val="7F7F7F" w:themeColor="text1" w:themeTint="80"/>
          </w:rPr>
          <w:fldChar w:fldCharType="end"/>
        </w:r>
      </w:p>
    </w:sdtContent>
  </w:sdt>
  <w:p w:rsidR="00CF7B20" w:rsidRDefault="00CF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20" w:rsidRDefault="00CF7B20" w:rsidP="00CF7B20">
      <w:r>
        <w:separator/>
      </w:r>
    </w:p>
  </w:footnote>
  <w:footnote w:type="continuationSeparator" w:id="0">
    <w:p w:rsidR="00CF7B20" w:rsidRDefault="00CF7B20" w:rsidP="00CF7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50A96"/>
    <w:multiLevelType w:val="hybridMultilevel"/>
    <w:tmpl w:val="7968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20"/>
    <w:rsid w:val="00031C03"/>
    <w:rsid w:val="00425C1E"/>
    <w:rsid w:val="00A64676"/>
    <w:rsid w:val="00AF6C12"/>
    <w:rsid w:val="00C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20"/>
    <w:pPr>
      <w:spacing w:after="0" w:line="240" w:lineRule="auto"/>
    </w:pPr>
    <w:rPr>
      <w:rFonts w:ascii="Times New Roman" w:eastAsia="Calibri" w:hAnsi="Times New Roman" w:cs="Times New Roman"/>
      <w:sz w:val="24"/>
      <w:szCs w:val="24"/>
    </w:rPr>
  </w:style>
  <w:style w:type="paragraph" w:styleId="Heading2">
    <w:name w:val="heading 2"/>
    <w:basedOn w:val="Normal"/>
    <w:link w:val="Heading2Char"/>
    <w:qFormat/>
    <w:rsid w:val="00CF7B20"/>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B20"/>
    <w:rPr>
      <w:rFonts w:ascii="Times New Roman" w:eastAsia="Calibri" w:hAnsi="Times New Roman" w:cs="Times New Roman"/>
      <w:b/>
      <w:bCs/>
      <w:sz w:val="36"/>
      <w:szCs w:val="36"/>
      <w:lang w:val="en-US"/>
    </w:rPr>
  </w:style>
  <w:style w:type="paragraph" w:styleId="NoSpacing">
    <w:name w:val="No Spacing"/>
    <w:qFormat/>
    <w:rsid w:val="00CF7B20"/>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CF7B20"/>
    <w:pPr>
      <w:tabs>
        <w:tab w:val="center" w:pos="4513"/>
        <w:tab w:val="right" w:pos="9026"/>
      </w:tabs>
    </w:pPr>
  </w:style>
  <w:style w:type="character" w:customStyle="1" w:styleId="HeaderChar">
    <w:name w:val="Header Char"/>
    <w:basedOn w:val="DefaultParagraphFont"/>
    <w:link w:val="Header"/>
    <w:uiPriority w:val="99"/>
    <w:rsid w:val="00CF7B20"/>
    <w:rPr>
      <w:rFonts w:ascii="Times New Roman" w:eastAsia="Calibri" w:hAnsi="Times New Roman" w:cs="Times New Roman"/>
      <w:sz w:val="24"/>
      <w:szCs w:val="24"/>
    </w:rPr>
  </w:style>
  <w:style w:type="paragraph" w:styleId="Footer">
    <w:name w:val="footer"/>
    <w:basedOn w:val="Normal"/>
    <w:link w:val="FooterChar"/>
    <w:uiPriority w:val="99"/>
    <w:unhideWhenUsed/>
    <w:rsid w:val="00CF7B20"/>
    <w:pPr>
      <w:tabs>
        <w:tab w:val="center" w:pos="4513"/>
        <w:tab w:val="right" w:pos="9026"/>
      </w:tabs>
    </w:pPr>
  </w:style>
  <w:style w:type="character" w:customStyle="1" w:styleId="FooterChar">
    <w:name w:val="Footer Char"/>
    <w:basedOn w:val="DefaultParagraphFont"/>
    <w:link w:val="Footer"/>
    <w:uiPriority w:val="99"/>
    <w:rsid w:val="00CF7B20"/>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20"/>
    <w:pPr>
      <w:spacing w:after="0" w:line="240" w:lineRule="auto"/>
    </w:pPr>
    <w:rPr>
      <w:rFonts w:ascii="Times New Roman" w:eastAsia="Calibri" w:hAnsi="Times New Roman" w:cs="Times New Roman"/>
      <w:sz w:val="24"/>
      <w:szCs w:val="24"/>
    </w:rPr>
  </w:style>
  <w:style w:type="paragraph" w:styleId="Heading2">
    <w:name w:val="heading 2"/>
    <w:basedOn w:val="Normal"/>
    <w:link w:val="Heading2Char"/>
    <w:qFormat/>
    <w:rsid w:val="00CF7B20"/>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B20"/>
    <w:rPr>
      <w:rFonts w:ascii="Times New Roman" w:eastAsia="Calibri" w:hAnsi="Times New Roman" w:cs="Times New Roman"/>
      <w:b/>
      <w:bCs/>
      <w:sz w:val="36"/>
      <w:szCs w:val="36"/>
      <w:lang w:val="en-US"/>
    </w:rPr>
  </w:style>
  <w:style w:type="paragraph" w:styleId="NoSpacing">
    <w:name w:val="No Spacing"/>
    <w:qFormat/>
    <w:rsid w:val="00CF7B20"/>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CF7B20"/>
    <w:pPr>
      <w:tabs>
        <w:tab w:val="center" w:pos="4513"/>
        <w:tab w:val="right" w:pos="9026"/>
      </w:tabs>
    </w:pPr>
  </w:style>
  <w:style w:type="character" w:customStyle="1" w:styleId="HeaderChar">
    <w:name w:val="Header Char"/>
    <w:basedOn w:val="DefaultParagraphFont"/>
    <w:link w:val="Header"/>
    <w:uiPriority w:val="99"/>
    <w:rsid w:val="00CF7B20"/>
    <w:rPr>
      <w:rFonts w:ascii="Times New Roman" w:eastAsia="Calibri" w:hAnsi="Times New Roman" w:cs="Times New Roman"/>
      <w:sz w:val="24"/>
      <w:szCs w:val="24"/>
    </w:rPr>
  </w:style>
  <w:style w:type="paragraph" w:styleId="Footer">
    <w:name w:val="footer"/>
    <w:basedOn w:val="Normal"/>
    <w:link w:val="FooterChar"/>
    <w:uiPriority w:val="99"/>
    <w:unhideWhenUsed/>
    <w:rsid w:val="00CF7B20"/>
    <w:pPr>
      <w:tabs>
        <w:tab w:val="center" w:pos="4513"/>
        <w:tab w:val="right" w:pos="9026"/>
      </w:tabs>
    </w:pPr>
  </w:style>
  <w:style w:type="character" w:customStyle="1" w:styleId="FooterChar">
    <w:name w:val="Footer Char"/>
    <w:basedOn w:val="DefaultParagraphFont"/>
    <w:link w:val="Footer"/>
    <w:uiPriority w:val="99"/>
    <w:rsid w:val="00CF7B2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Watson</dc:creator>
  <cp:lastModifiedBy>Jacqueline Kibacha</cp:lastModifiedBy>
  <cp:revision>2</cp:revision>
  <dcterms:created xsi:type="dcterms:W3CDTF">2015-05-15T13:27:00Z</dcterms:created>
  <dcterms:modified xsi:type="dcterms:W3CDTF">2015-05-15T13:27:00Z</dcterms:modified>
</cp:coreProperties>
</file>